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86EA3" w14:textId="77777777" w:rsidR="002733E5" w:rsidRDefault="002733E5" w:rsidP="00263767">
      <w:pPr>
        <w:jc w:val="both"/>
        <w:rPr>
          <w:rFonts w:ascii="Times New Roman" w:hAnsi="Times New Roman" w:cs="Times New Roman"/>
          <w:sz w:val="24"/>
          <w:szCs w:val="24"/>
        </w:rPr>
      </w:pPr>
    </w:p>
    <w:p w14:paraId="56B95089" w14:textId="77777777" w:rsidR="009A428D" w:rsidRPr="009A428D" w:rsidRDefault="009A428D" w:rsidP="009A428D">
      <w:pPr>
        <w:pBdr>
          <w:top w:val="double" w:sz="4" w:space="0" w:color="auto"/>
          <w:bottom w:val="double" w:sz="4" w:space="1" w:color="auto"/>
        </w:pBdr>
        <w:shd w:val="clear" w:color="auto" w:fill="053A63"/>
        <w:spacing w:after="240" w:line="240" w:lineRule="auto"/>
        <w:jc w:val="center"/>
        <w:outlineLvl w:val="0"/>
        <w:rPr>
          <w:rFonts w:ascii="Times New Roman" w:eastAsia="Times New Roman" w:hAnsi="Times New Roman" w:cs="Times New Roman"/>
          <w:b/>
          <w:color w:val="FFFFFF" w:themeColor="background1"/>
          <w:sz w:val="32"/>
          <w:szCs w:val="32"/>
        </w:rPr>
      </w:pPr>
      <w:r>
        <w:rPr>
          <w:rFonts w:ascii="Times New Roman" w:eastAsia="Times New Roman" w:hAnsi="Times New Roman" w:cs="Times New Roman"/>
          <w:b/>
          <w:color w:val="FFFFFF" w:themeColor="background1"/>
          <w:sz w:val="32"/>
          <w:szCs w:val="32"/>
        </w:rPr>
        <w:t>Instructions</w:t>
      </w:r>
    </w:p>
    <w:p w14:paraId="1E537236" w14:textId="5085D927" w:rsidR="002733E5" w:rsidRPr="00223C6C" w:rsidRDefault="002733E5" w:rsidP="00223C6C">
      <w:pPr>
        <w:jc w:val="both"/>
        <w:rPr>
          <w:rFonts w:ascii="Times New Roman" w:hAnsi="Times New Roman" w:cs="Times New Roman"/>
          <w:b/>
          <w:i/>
          <w:sz w:val="24"/>
          <w:szCs w:val="24"/>
          <w:u w:val="single"/>
        </w:rPr>
      </w:pPr>
      <w:r w:rsidRPr="00223C6C">
        <w:rPr>
          <w:rFonts w:ascii="Times New Roman" w:hAnsi="Times New Roman" w:cs="Times New Roman"/>
          <w:b/>
          <w:i/>
          <w:sz w:val="24"/>
          <w:szCs w:val="24"/>
          <w:u w:val="single"/>
        </w:rPr>
        <w:t>Introduction</w:t>
      </w:r>
      <w:r w:rsidR="00773CBA" w:rsidRPr="00223C6C">
        <w:rPr>
          <w:rFonts w:ascii="Times New Roman" w:hAnsi="Times New Roman" w:cs="Times New Roman"/>
          <w:b/>
          <w:i/>
          <w:sz w:val="24"/>
          <w:szCs w:val="24"/>
          <w:u w:val="single"/>
        </w:rPr>
        <w:t xml:space="preserve"> and General Comments</w:t>
      </w:r>
    </w:p>
    <w:p w14:paraId="02513E50" w14:textId="484E8019" w:rsidR="00773CBA" w:rsidRDefault="00DC0947" w:rsidP="00773CBA">
      <w:pPr>
        <w:jc w:val="both"/>
        <w:rPr>
          <w:rFonts w:ascii="Times New Roman" w:hAnsi="Times New Roman" w:cs="Times New Roman"/>
          <w:sz w:val="24"/>
          <w:szCs w:val="24"/>
        </w:rPr>
      </w:pPr>
      <w:r>
        <w:rPr>
          <w:rFonts w:ascii="Times New Roman" w:hAnsi="Times New Roman" w:cs="Times New Roman"/>
          <w:sz w:val="24"/>
          <w:szCs w:val="24"/>
        </w:rPr>
        <w:t xml:space="preserve">The </w:t>
      </w:r>
      <w:r w:rsidR="00404DDC">
        <w:rPr>
          <w:rFonts w:ascii="Times New Roman" w:hAnsi="Times New Roman" w:cs="Times New Roman"/>
          <w:sz w:val="24"/>
          <w:szCs w:val="24"/>
        </w:rPr>
        <w:t xml:space="preserve">Louisiana </w:t>
      </w:r>
      <w:r w:rsidR="00C94CA3">
        <w:rPr>
          <w:rFonts w:ascii="Times New Roman" w:hAnsi="Times New Roman" w:cs="Times New Roman"/>
          <w:sz w:val="24"/>
          <w:szCs w:val="24"/>
        </w:rPr>
        <w:t xml:space="preserve">Legislative </w:t>
      </w:r>
      <w:r w:rsidR="00404DDC">
        <w:rPr>
          <w:rFonts w:ascii="Times New Roman" w:hAnsi="Times New Roman" w:cs="Times New Roman"/>
          <w:sz w:val="24"/>
          <w:szCs w:val="24"/>
        </w:rPr>
        <w:t>Auditor</w:t>
      </w:r>
      <w:r w:rsidR="00023AF8">
        <w:rPr>
          <w:rFonts w:ascii="Times New Roman" w:hAnsi="Times New Roman" w:cs="Times New Roman"/>
          <w:sz w:val="24"/>
          <w:szCs w:val="24"/>
        </w:rPr>
        <w:t xml:space="preserve"> (LLA)</w:t>
      </w:r>
      <w:r w:rsidR="001F4CC6">
        <w:rPr>
          <w:rFonts w:ascii="Times New Roman" w:hAnsi="Times New Roman" w:cs="Times New Roman"/>
          <w:sz w:val="24"/>
          <w:szCs w:val="24"/>
        </w:rPr>
        <w:t xml:space="preserve"> has prescribed statewide</w:t>
      </w:r>
      <w:r w:rsidR="00404DDC">
        <w:rPr>
          <w:rFonts w:ascii="Times New Roman" w:hAnsi="Times New Roman" w:cs="Times New Roman"/>
          <w:sz w:val="24"/>
          <w:szCs w:val="24"/>
        </w:rPr>
        <w:t xml:space="preserve"> </w:t>
      </w:r>
      <w:r>
        <w:rPr>
          <w:rFonts w:ascii="Times New Roman" w:hAnsi="Times New Roman" w:cs="Times New Roman"/>
          <w:sz w:val="24"/>
          <w:szCs w:val="24"/>
        </w:rPr>
        <w:t>agreed-upon procedures</w:t>
      </w:r>
      <w:r w:rsidR="00C77982">
        <w:rPr>
          <w:rFonts w:ascii="Times New Roman" w:hAnsi="Times New Roman" w:cs="Times New Roman"/>
          <w:sz w:val="24"/>
          <w:szCs w:val="24"/>
        </w:rPr>
        <w:t xml:space="preserve"> (AUPs)</w:t>
      </w:r>
      <w:r>
        <w:rPr>
          <w:rFonts w:ascii="Times New Roman" w:hAnsi="Times New Roman" w:cs="Times New Roman"/>
          <w:sz w:val="24"/>
          <w:szCs w:val="24"/>
        </w:rPr>
        <w:t xml:space="preserve"> below</w:t>
      </w:r>
      <w:r w:rsidR="00404DDC">
        <w:rPr>
          <w:rFonts w:ascii="Times New Roman" w:hAnsi="Times New Roman" w:cs="Times New Roman"/>
          <w:sz w:val="24"/>
          <w:szCs w:val="24"/>
        </w:rPr>
        <w:t>, which</w:t>
      </w:r>
      <w:r>
        <w:rPr>
          <w:rFonts w:ascii="Times New Roman" w:hAnsi="Times New Roman" w:cs="Times New Roman"/>
          <w:sz w:val="24"/>
          <w:szCs w:val="24"/>
        </w:rPr>
        <w:t xml:space="preserve"> are intended to represent a minimum level of </w:t>
      </w:r>
      <w:r w:rsidR="00C77982">
        <w:rPr>
          <w:rFonts w:ascii="Times New Roman" w:hAnsi="Times New Roman" w:cs="Times New Roman"/>
          <w:sz w:val="24"/>
          <w:szCs w:val="24"/>
        </w:rPr>
        <w:t xml:space="preserve">additional </w:t>
      </w:r>
      <w:r>
        <w:rPr>
          <w:rFonts w:ascii="Times New Roman" w:hAnsi="Times New Roman" w:cs="Times New Roman"/>
          <w:sz w:val="24"/>
          <w:szCs w:val="24"/>
        </w:rPr>
        <w:t xml:space="preserve">work to be performed </w:t>
      </w:r>
      <w:r w:rsidR="005F5CFD">
        <w:rPr>
          <w:rFonts w:ascii="Times New Roman" w:hAnsi="Times New Roman" w:cs="Times New Roman"/>
          <w:sz w:val="24"/>
          <w:szCs w:val="24"/>
        </w:rPr>
        <w:t>at</w:t>
      </w:r>
      <w:r>
        <w:rPr>
          <w:rFonts w:ascii="Times New Roman" w:hAnsi="Times New Roman" w:cs="Times New Roman"/>
          <w:sz w:val="24"/>
          <w:szCs w:val="24"/>
        </w:rPr>
        <w:t xml:space="preserve"> those </w:t>
      </w:r>
      <w:r w:rsidR="001F332F">
        <w:rPr>
          <w:rFonts w:ascii="Times New Roman" w:hAnsi="Times New Roman" w:cs="Times New Roman"/>
          <w:sz w:val="24"/>
          <w:szCs w:val="24"/>
        </w:rPr>
        <w:t xml:space="preserve">local </w:t>
      </w:r>
      <w:r w:rsidR="0092241F">
        <w:rPr>
          <w:rFonts w:ascii="Times New Roman" w:hAnsi="Times New Roman" w:cs="Times New Roman"/>
          <w:sz w:val="24"/>
          <w:szCs w:val="24"/>
        </w:rPr>
        <w:t>entities (</w:t>
      </w:r>
      <w:r>
        <w:rPr>
          <w:rFonts w:ascii="Times New Roman" w:hAnsi="Times New Roman" w:cs="Times New Roman"/>
          <w:sz w:val="24"/>
          <w:szCs w:val="24"/>
        </w:rPr>
        <w:t xml:space="preserve">local governments </w:t>
      </w:r>
      <w:r w:rsidR="00C94CA3">
        <w:rPr>
          <w:rFonts w:ascii="Times New Roman" w:hAnsi="Times New Roman" w:cs="Times New Roman"/>
          <w:sz w:val="24"/>
          <w:szCs w:val="24"/>
        </w:rPr>
        <w:t xml:space="preserve">and </w:t>
      </w:r>
      <w:r w:rsidR="0092241F">
        <w:rPr>
          <w:rFonts w:ascii="Times New Roman" w:hAnsi="Times New Roman" w:cs="Times New Roman"/>
          <w:sz w:val="24"/>
          <w:szCs w:val="24"/>
        </w:rPr>
        <w:t xml:space="preserve">quasi-public organizations, including </w:t>
      </w:r>
      <w:r w:rsidR="00C94CA3">
        <w:rPr>
          <w:rFonts w:ascii="Times New Roman" w:hAnsi="Times New Roman" w:cs="Times New Roman"/>
          <w:sz w:val="24"/>
          <w:szCs w:val="24"/>
        </w:rPr>
        <w:t>nonprofits</w:t>
      </w:r>
      <w:r w:rsidR="0092241F">
        <w:rPr>
          <w:rFonts w:ascii="Times New Roman" w:hAnsi="Times New Roman" w:cs="Times New Roman"/>
          <w:sz w:val="24"/>
          <w:szCs w:val="24"/>
        </w:rPr>
        <w:t>)</w:t>
      </w:r>
      <w:r w:rsidR="00C94CA3">
        <w:rPr>
          <w:rFonts w:ascii="Times New Roman" w:hAnsi="Times New Roman" w:cs="Times New Roman"/>
          <w:sz w:val="24"/>
          <w:szCs w:val="24"/>
        </w:rPr>
        <w:t xml:space="preserve"> that meet the legal requirement to have an audit under the Audit Law</w:t>
      </w:r>
      <w:r w:rsidR="00697F7D">
        <w:rPr>
          <w:rStyle w:val="FootnoteReference"/>
          <w:rFonts w:ascii="Times New Roman" w:hAnsi="Times New Roman" w:cs="Times New Roman"/>
          <w:sz w:val="24"/>
          <w:szCs w:val="24"/>
        </w:rPr>
        <w:footnoteReference w:id="2"/>
      </w:r>
      <w:r w:rsidR="00A5584A">
        <w:rPr>
          <w:rFonts w:ascii="Times New Roman" w:hAnsi="Times New Roman" w:cs="Times New Roman"/>
          <w:sz w:val="24"/>
          <w:szCs w:val="24"/>
        </w:rPr>
        <w:t xml:space="preserve"> (i.e., public funds totaling $500,000</w:t>
      </w:r>
      <w:r w:rsidR="00360777">
        <w:rPr>
          <w:rFonts w:ascii="Times New Roman" w:hAnsi="Times New Roman" w:cs="Times New Roman"/>
          <w:sz w:val="24"/>
          <w:szCs w:val="24"/>
        </w:rPr>
        <w:t xml:space="preserve"> or more</w:t>
      </w:r>
      <w:r w:rsidR="00A5584A">
        <w:rPr>
          <w:rFonts w:ascii="Times New Roman" w:hAnsi="Times New Roman" w:cs="Times New Roman"/>
          <w:sz w:val="24"/>
          <w:szCs w:val="24"/>
        </w:rPr>
        <w:t xml:space="preserve"> in revenues and other sources)</w:t>
      </w:r>
      <w:r>
        <w:rPr>
          <w:rFonts w:ascii="Times New Roman" w:hAnsi="Times New Roman" w:cs="Times New Roman"/>
          <w:sz w:val="24"/>
          <w:szCs w:val="24"/>
        </w:rPr>
        <w:t>.</w:t>
      </w:r>
      <w:r w:rsidR="00C94CA3">
        <w:rPr>
          <w:rFonts w:ascii="Times New Roman" w:hAnsi="Times New Roman" w:cs="Times New Roman"/>
          <w:sz w:val="24"/>
          <w:szCs w:val="24"/>
        </w:rPr>
        <w:t xml:space="preserve"> </w:t>
      </w:r>
      <w:r w:rsidR="00773CBA">
        <w:rPr>
          <w:rFonts w:ascii="Times New Roman" w:hAnsi="Times New Roman" w:cs="Times New Roman"/>
          <w:b/>
          <w:sz w:val="24"/>
          <w:szCs w:val="24"/>
        </w:rPr>
        <w:t xml:space="preserve">This update to the </w:t>
      </w:r>
      <w:r w:rsidR="00773CBA" w:rsidRPr="005F5CFD">
        <w:rPr>
          <w:rFonts w:ascii="Times New Roman" w:hAnsi="Times New Roman" w:cs="Times New Roman"/>
          <w:b/>
          <w:sz w:val="24"/>
          <w:szCs w:val="24"/>
        </w:rPr>
        <w:t xml:space="preserve">AUPs will be effective </w:t>
      </w:r>
      <w:r w:rsidR="00773CBA">
        <w:rPr>
          <w:rFonts w:ascii="Times New Roman" w:hAnsi="Times New Roman" w:cs="Times New Roman"/>
          <w:b/>
          <w:sz w:val="24"/>
          <w:szCs w:val="24"/>
        </w:rPr>
        <w:t xml:space="preserve">for </w:t>
      </w:r>
      <w:r w:rsidR="00773CBA" w:rsidRPr="005F5CFD">
        <w:rPr>
          <w:rFonts w:ascii="Times New Roman" w:hAnsi="Times New Roman" w:cs="Times New Roman"/>
          <w:b/>
          <w:sz w:val="24"/>
          <w:szCs w:val="24"/>
        </w:rPr>
        <w:t>those en</w:t>
      </w:r>
      <w:r w:rsidR="00773CBA">
        <w:rPr>
          <w:rFonts w:ascii="Times New Roman" w:hAnsi="Times New Roman" w:cs="Times New Roman"/>
          <w:b/>
          <w:sz w:val="24"/>
          <w:szCs w:val="24"/>
        </w:rPr>
        <w:t xml:space="preserve">tities that have fiscal years ending </w:t>
      </w:r>
      <w:r w:rsidR="004E5C89">
        <w:rPr>
          <w:rFonts w:ascii="Times New Roman" w:hAnsi="Times New Roman" w:cs="Times New Roman"/>
          <w:b/>
          <w:sz w:val="24"/>
          <w:szCs w:val="24"/>
        </w:rPr>
        <w:t>December 31, 2021</w:t>
      </w:r>
      <w:r w:rsidR="00773CBA">
        <w:rPr>
          <w:rFonts w:ascii="Times New Roman" w:hAnsi="Times New Roman" w:cs="Times New Roman"/>
          <w:b/>
          <w:sz w:val="24"/>
          <w:szCs w:val="24"/>
        </w:rPr>
        <w:t xml:space="preserve"> through </w:t>
      </w:r>
      <w:r w:rsidR="00697F7D">
        <w:rPr>
          <w:rFonts w:ascii="Times New Roman" w:hAnsi="Times New Roman" w:cs="Times New Roman"/>
          <w:b/>
          <w:sz w:val="24"/>
          <w:szCs w:val="24"/>
        </w:rPr>
        <w:t xml:space="preserve">November </w:t>
      </w:r>
      <w:r w:rsidR="004E5C89">
        <w:rPr>
          <w:rFonts w:ascii="Times New Roman" w:hAnsi="Times New Roman" w:cs="Times New Roman"/>
          <w:b/>
          <w:sz w:val="24"/>
          <w:szCs w:val="24"/>
        </w:rPr>
        <w:t>30, 2022</w:t>
      </w:r>
      <w:r w:rsidR="00773CBA" w:rsidRPr="008E4A7D">
        <w:rPr>
          <w:rFonts w:ascii="Times New Roman" w:hAnsi="Times New Roman" w:cs="Times New Roman"/>
          <w:b/>
          <w:sz w:val="24"/>
          <w:szCs w:val="24"/>
        </w:rPr>
        <w:t>.</w:t>
      </w:r>
    </w:p>
    <w:p w14:paraId="5DC74730" w14:textId="5ACA036D" w:rsidR="00697F7D" w:rsidRDefault="000335EB" w:rsidP="00773CBA">
      <w:pPr>
        <w:jc w:val="both"/>
        <w:rPr>
          <w:rFonts w:ascii="Times New Roman" w:hAnsi="Times New Roman" w:cs="Times New Roman"/>
          <w:sz w:val="24"/>
          <w:szCs w:val="24"/>
        </w:rPr>
      </w:pPr>
      <w:bookmarkStart w:id="0" w:name="_Hlk88482457"/>
      <w:r w:rsidRPr="000335EB">
        <w:rPr>
          <w:rFonts w:ascii="Times New Roman" w:hAnsi="Times New Roman" w:cs="Times New Roman"/>
          <w:b/>
          <w:sz w:val="24"/>
          <w:szCs w:val="24"/>
        </w:rPr>
        <w:t>What’s New?</w:t>
      </w:r>
      <w:r>
        <w:rPr>
          <w:rFonts w:ascii="Times New Roman" w:hAnsi="Times New Roman" w:cs="Times New Roman"/>
          <w:sz w:val="24"/>
          <w:szCs w:val="24"/>
        </w:rPr>
        <w:t xml:space="preserve"> </w:t>
      </w:r>
      <w:r w:rsidR="00697F7D">
        <w:rPr>
          <w:rFonts w:ascii="Times New Roman" w:hAnsi="Times New Roman" w:cs="Times New Roman"/>
          <w:sz w:val="24"/>
          <w:szCs w:val="24"/>
        </w:rPr>
        <w:t xml:space="preserve">Entities will </w:t>
      </w:r>
      <w:r w:rsidR="00697F7D" w:rsidRPr="003B1894">
        <w:rPr>
          <w:rFonts w:ascii="Times New Roman" w:hAnsi="Times New Roman" w:cs="Times New Roman"/>
          <w:b/>
          <w:sz w:val="24"/>
          <w:szCs w:val="24"/>
        </w:rPr>
        <w:t>not</w:t>
      </w:r>
      <w:r w:rsidR="00697F7D">
        <w:rPr>
          <w:rFonts w:ascii="Times New Roman" w:hAnsi="Times New Roman" w:cs="Times New Roman"/>
          <w:sz w:val="24"/>
          <w:szCs w:val="24"/>
        </w:rPr>
        <w:t xml:space="preserve"> be allowed to </w:t>
      </w:r>
      <w:r w:rsidR="00697F7D" w:rsidRPr="003B1894">
        <w:rPr>
          <w:rFonts w:ascii="Times New Roman" w:hAnsi="Times New Roman" w:cs="Times New Roman"/>
          <w:b/>
          <w:sz w:val="24"/>
          <w:szCs w:val="24"/>
        </w:rPr>
        <w:t>exclude</w:t>
      </w:r>
      <w:r w:rsidR="00697F7D">
        <w:rPr>
          <w:rFonts w:ascii="Times New Roman" w:hAnsi="Times New Roman" w:cs="Times New Roman"/>
          <w:sz w:val="24"/>
          <w:szCs w:val="24"/>
        </w:rPr>
        <w:t xml:space="preserve"> any AUP categories for the fourth year of AUPs. All entities not exempt from performing the SAPs as stated within the Applicability of SAUPs section of this document are required to perform all AUP categories.</w:t>
      </w:r>
    </w:p>
    <w:p w14:paraId="01D03B7D" w14:textId="427245F2" w:rsidR="000335EB" w:rsidRDefault="000335EB" w:rsidP="00773CBA">
      <w:pPr>
        <w:jc w:val="both"/>
        <w:rPr>
          <w:rFonts w:ascii="Times New Roman" w:hAnsi="Times New Roman" w:cs="Times New Roman"/>
          <w:sz w:val="24"/>
          <w:szCs w:val="24"/>
        </w:rPr>
      </w:pPr>
      <w:r>
        <w:rPr>
          <w:rFonts w:ascii="Times New Roman" w:hAnsi="Times New Roman" w:cs="Times New Roman"/>
          <w:sz w:val="24"/>
          <w:szCs w:val="24"/>
        </w:rPr>
        <w:t xml:space="preserve">LLA has added </w:t>
      </w:r>
      <w:r w:rsidR="004F608E">
        <w:rPr>
          <w:rFonts w:ascii="Times New Roman" w:hAnsi="Times New Roman" w:cs="Times New Roman"/>
          <w:sz w:val="24"/>
          <w:szCs w:val="24"/>
        </w:rPr>
        <w:t>Sexual Harassment</w:t>
      </w:r>
      <w:r>
        <w:rPr>
          <w:rFonts w:ascii="Times New Roman" w:hAnsi="Times New Roman" w:cs="Times New Roman"/>
          <w:sz w:val="24"/>
          <w:szCs w:val="24"/>
        </w:rPr>
        <w:t xml:space="preserve"> to the Written Policies and Procedures category</w:t>
      </w:r>
      <w:r w:rsidR="004F608E">
        <w:rPr>
          <w:rFonts w:ascii="Times New Roman" w:hAnsi="Times New Roman" w:cs="Times New Roman"/>
          <w:sz w:val="24"/>
          <w:szCs w:val="24"/>
        </w:rPr>
        <w:t xml:space="preserve"> and included testing procedures for both Sexual Harassment and </w:t>
      </w:r>
      <w:bookmarkStart w:id="1" w:name="_Hlk78799795"/>
      <w:r w:rsidR="004F608E">
        <w:rPr>
          <w:rFonts w:ascii="Times New Roman" w:hAnsi="Times New Roman" w:cs="Times New Roman"/>
          <w:sz w:val="24"/>
          <w:szCs w:val="24"/>
        </w:rPr>
        <w:t>Information Technology Disaster Recovery/Business Continuity</w:t>
      </w:r>
      <w:bookmarkEnd w:id="1"/>
      <w:r>
        <w:rPr>
          <w:rFonts w:ascii="Times New Roman" w:hAnsi="Times New Roman" w:cs="Times New Roman"/>
          <w:sz w:val="24"/>
          <w:szCs w:val="24"/>
        </w:rPr>
        <w:t xml:space="preserve">.  </w:t>
      </w:r>
      <w:r w:rsidR="00697F7D">
        <w:rPr>
          <w:rFonts w:ascii="Times New Roman" w:hAnsi="Times New Roman" w:cs="Times New Roman"/>
          <w:sz w:val="24"/>
          <w:szCs w:val="24"/>
        </w:rPr>
        <w:t xml:space="preserve">We have made </w:t>
      </w:r>
      <w:r w:rsidR="00697F7D" w:rsidRPr="0096411C">
        <w:rPr>
          <w:rFonts w:ascii="Times New Roman" w:hAnsi="Times New Roman" w:cs="Times New Roman"/>
          <w:sz w:val="24"/>
          <w:szCs w:val="24"/>
        </w:rPr>
        <w:t>significant</w:t>
      </w:r>
      <w:r w:rsidR="00697F7D" w:rsidRPr="00C36FD3">
        <w:rPr>
          <w:rFonts w:ascii="Times New Roman" w:hAnsi="Times New Roman" w:cs="Times New Roman"/>
          <w:sz w:val="24"/>
          <w:szCs w:val="24"/>
        </w:rPr>
        <w:t xml:space="preserve"> changes to</w:t>
      </w:r>
      <w:r w:rsidR="00697F7D">
        <w:rPr>
          <w:rFonts w:ascii="Times New Roman" w:hAnsi="Times New Roman" w:cs="Times New Roman"/>
          <w:sz w:val="24"/>
          <w:szCs w:val="24"/>
        </w:rPr>
        <w:t xml:space="preserve"> the Payroll and Personnel and Board Oversight categories </w:t>
      </w:r>
      <w:r w:rsidR="00A7181D">
        <w:rPr>
          <w:rFonts w:ascii="Times New Roman" w:hAnsi="Times New Roman" w:cs="Times New Roman"/>
          <w:sz w:val="24"/>
          <w:szCs w:val="24"/>
        </w:rPr>
        <w:t>and</w:t>
      </w:r>
      <w:r w:rsidR="00697F7D">
        <w:rPr>
          <w:rFonts w:ascii="Times New Roman" w:hAnsi="Times New Roman" w:cs="Times New Roman"/>
          <w:sz w:val="24"/>
          <w:szCs w:val="24"/>
        </w:rPr>
        <w:t>, we have also made minor edits to other procedural categories, existing instructions and footnotes for clarity.</w:t>
      </w:r>
    </w:p>
    <w:p w14:paraId="2C86D546" w14:textId="77777777" w:rsidR="009A428D" w:rsidRDefault="00744493" w:rsidP="00773CBA">
      <w:pPr>
        <w:jc w:val="both"/>
        <w:rPr>
          <w:rFonts w:ascii="Times New Roman" w:hAnsi="Times New Roman" w:cs="Times New Roman"/>
          <w:sz w:val="24"/>
          <w:szCs w:val="24"/>
        </w:rPr>
      </w:pPr>
      <w:r>
        <w:rPr>
          <w:rFonts w:ascii="Times New Roman" w:hAnsi="Times New Roman" w:cs="Times New Roman"/>
          <w:sz w:val="24"/>
          <w:szCs w:val="24"/>
        </w:rPr>
        <w:t>The AUPs are not intended to address all areas of risk within an entity.  Instead, they are designed to address those areas that have resulted in the most frequent incidents of fraud, waste, or abuse of public funds.</w:t>
      </w:r>
    </w:p>
    <w:bookmarkEnd w:id="0"/>
    <w:p w14:paraId="4BB0A502" w14:textId="0BF37E63" w:rsidR="00773CBA" w:rsidRDefault="00773CBA" w:rsidP="00773CBA">
      <w:pPr>
        <w:jc w:val="both"/>
        <w:rPr>
          <w:rFonts w:ascii="Times New Roman" w:hAnsi="Times New Roman" w:cs="Times New Roman"/>
          <w:sz w:val="24"/>
          <w:szCs w:val="24"/>
        </w:rPr>
      </w:pPr>
      <w:r>
        <w:rPr>
          <w:rFonts w:ascii="Times New Roman" w:hAnsi="Times New Roman" w:cs="Times New Roman"/>
          <w:sz w:val="24"/>
          <w:szCs w:val="24"/>
        </w:rPr>
        <w:t>The AUPs are to be performed under the AICPA attest standards</w:t>
      </w:r>
      <w:r w:rsidR="00133A56">
        <w:rPr>
          <w:rFonts w:ascii="Times New Roman" w:hAnsi="Times New Roman" w:cs="Times New Roman"/>
          <w:sz w:val="24"/>
          <w:szCs w:val="24"/>
        </w:rPr>
        <w:t xml:space="preserve"> (Statements on Standards for Attestation Engagements)</w:t>
      </w:r>
      <w:r>
        <w:rPr>
          <w:rFonts w:ascii="Times New Roman" w:hAnsi="Times New Roman" w:cs="Times New Roman"/>
          <w:sz w:val="24"/>
          <w:szCs w:val="24"/>
        </w:rPr>
        <w:t xml:space="preserve"> and </w:t>
      </w:r>
      <w:r w:rsidRPr="007B16D5">
        <w:rPr>
          <w:rFonts w:ascii="Times New Roman" w:hAnsi="Times New Roman" w:cs="Times New Roman"/>
          <w:i/>
          <w:sz w:val="24"/>
          <w:szCs w:val="24"/>
        </w:rPr>
        <w:t>Government Auditing Standards</w:t>
      </w:r>
      <w:r>
        <w:rPr>
          <w:rFonts w:ascii="Times New Roman" w:hAnsi="Times New Roman" w:cs="Times New Roman"/>
          <w:sz w:val="24"/>
          <w:szCs w:val="24"/>
        </w:rPr>
        <w:t xml:space="preserve">, and the AUP report must be attached </w:t>
      </w:r>
      <w:r w:rsidR="00360777">
        <w:rPr>
          <w:rFonts w:ascii="Times New Roman" w:hAnsi="Times New Roman" w:cs="Times New Roman"/>
          <w:sz w:val="24"/>
          <w:szCs w:val="24"/>
        </w:rPr>
        <w:t>with</w:t>
      </w:r>
      <w:r>
        <w:rPr>
          <w:rFonts w:ascii="Times New Roman" w:hAnsi="Times New Roman" w:cs="Times New Roman"/>
          <w:sz w:val="24"/>
          <w:szCs w:val="24"/>
        </w:rPr>
        <w:t xml:space="preserve"> the audit report that is submitted to the Legislative Auditor’s office (i.e.</w:t>
      </w:r>
      <w:r w:rsidR="00BD0A4B">
        <w:rPr>
          <w:rFonts w:ascii="Times New Roman" w:hAnsi="Times New Roman" w:cs="Times New Roman"/>
          <w:sz w:val="24"/>
          <w:szCs w:val="24"/>
        </w:rPr>
        <w:t>,</w:t>
      </w:r>
      <w:r>
        <w:rPr>
          <w:rFonts w:ascii="Times New Roman" w:hAnsi="Times New Roman" w:cs="Times New Roman"/>
          <w:sz w:val="24"/>
          <w:szCs w:val="24"/>
        </w:rPr>
        <w:t xml:space="preserve"> one Adobe pdf file submitted to the LLA rather than two). The AUPs are required to be performed by the same firm that performs the annual audit; accordingly, a separate “engagement approval form” for the statewide AUP engagement is not required.</w:t>
      </w:r>
      <w:r w:rsidR="00600AFA">
        <w:rPr>
          <w:rFonts w:ascii="Times New Roman" w:hAnsi="Times New Roman" w:cs="Times New Roman"/>
          <w:sz w:val="24"/>
          <w:szCs w:val="24"/>
        </w:rPr>
        <w:t xml:space="preserve">  The LLA is considered to be a specified party to the AUP engagements and accepts the sufficiency of AUP procedures by our acceptance of the standard (audit) engagement approval forms.</w:t>
      </w:r>
    </w:p>
    <w:p w14:paraId="52B713F8" w14:textId="77777777" w:rsidR="00536E2E" w:rsidRDefault="00773CBA" w:rsidP="00773CBA">
      <w:pPr>
        <w:jc w:val="both"/>
        <w:rPr>
          <w:rFonts w:ascii="Times New Roman" w:hAnsi="Times New Roman" w:cs="Times New Roman"/>
          <w:sz w:val="24"/>
          <w:szCs w:val="24"/>
        </w:rPr>
      </w:pPr>
      <w:r>
        <w:rPr>
          <w:rFonts w:ascii="Times New Roman" w:hAnsi="Times New Roman" w:cs="Times New Roman"/>
          <w:sz w:val="24"/>
          <w:szCs w:val="24"/>
        </w:rPr>
        <w:lastRenderedPageBreak/>
        <w:t>All exceptions</w:t>
      </w:r>
      <w:r w:rsidR="00536E2E">
        <w:rPr>
          <w:rFonts w:ascii="Times New Roman" w:hAnsi="Times New Roman" w:cs="Times New Roman"/>
          <w:sz w:val="24"/>
          <w:szCs w:val="24"/>
        </w:rPr>
        <w:t xml:space="preserve">, other than those related </w:t>
      </w:r>
      <w:r w:rsidR="003F0E2B">
        <w:rPr>
          <w:rFonts w:ascii="Times New Roman" w:hAnsi="Times New Roman" w:cs="Times New Roman"/>
          <w:sz w:val="24"/>
          <w:szCs w:val="24"/>
        </w:rPr>
        <w:t xml:space="preserve">to </w:t>
      </w:r>
      <w:r w:rsidR="00536E2E">
        <w:rPr>
          <w:rFonts w:ascii="Times New Roman" w:hAnsi="Times New Roman" w:cs="Times New Roman"/>
          <w:sz w:val="24"/>
          <w:szCs w:val="24"/>
        </w:rPr>
        <w:t>Information Technology Disaster Recovery/Business Continuity,</w:t>
      </w:r>
      <w:r>
        <w:rPr>
          <w:rFonts w:ascii="Times New Roman" w:hAnsi="Times New Roman" w:cs="Times New Roman"/>
          <w:sz w:val="24"/>
          <w:szCs w:val="24"/>
        </w:rPr>
        <w:t xml:space="preserve"> are to be included in the AUP report with management’s res</w:t>
      </w:r>
      <w:r w:rsidR="00D065A7">
        <w:rPr>
          <w:rFonts w:ascii="Times New Roman" w:hAnsi="Times New Roman" w:cs="Times New Roman"/>
          <w:sz w:val="24"/>
          <w:szCs w:val="24"/>
        </w:rPr>
        <w:t xml:space="preserve">ponses/corrective actions.  </w:t>
      </w:r>
      <w:r w:rsidR="003009E6">
        <w:rPr>
          <w:rFonts w:ascii="Times New Roman" w:hAnsi="Times New Roman" w:cs="Times New Roman"/>
          <w:sz w:val="24"/>
          <w:szCs w:val="24"/>
        </w:rPr>
        <w:t>To avoid potential conflicts with the attest standards, we recommend that m</w:t>
      </w:r>
      <w:r w:rsidR="00D065A7">
        <w:rPr>
          <w:rFonts w:ascii="Times New Roman" w:hAnsi="Times New Roman" w:cs="Times New Roman"/>
          <w:sz w:val="24"/>
          <w:szCs w:val="24"/>
        </w:rPr>
        <w:t xml:space="preserve">anagement prepare a single overall response to the AUP report.  If management chooses </w:t>
      </w:r>
      <w:r w:rsidR="00D065A7" w:rsidRPr="00360777">
        <w:rPr>
          <w:rFonts w:ascii="Times New Roman" w:hAnsi="Times New Roman" w:cs="Times New Roman"/>
          <w:sz w:val="24"/>
          <w:szCs w:val="24"/>
          <w:u w:val="single"/>
        </w:rPr>
        <w:t>not</w:t>
      </w:r>
      <w:r w:rsidR="00D065A7">
        <w:rPr>
          <w:rFonts w:ascii="Times New Roman" w:hAnsi="Times New Roman" w:cs="Times New Roman"/>
          <w:sz w:val="24"/>
          <w:szCs w:val="24"/>
        </w:rPr>
        <w:t xml:space="preserve"> to respond </w:t>
      </w:r>
      <w:r w:rsidR="009A5193">
        <w:rPr>
          <w:rFonts w:ascii="Times New Roman" w:hAnsi="Times New Roman" w:cs="Times New Roman"/>
          <w:sz w:val="24"/>
          <w:szCs w:val="24"/>
        </w:rPr>
        <w:t xml:space="preserve">to </w:t>
      </w:r>
      <w:r w:rsidR="00D065A7">
        <w:rPr>
          <w:rFonts w:ascii="Times New Roman" w:hAnsi="Times New Roman" w:cs="Times New Roman"/>
          <w:sz w:val="24"/>
          <w:szCs w:val="24"/>
        </w:rPr>
        <w:t>the AUP</w:t>
      </w:r>
      <w:r w:rsidR="009A5193">
        <w:rPr>
          <w:rFonts w:ascii="Times New Roman" w:hAnsi="Times New Roman" w:cs="Times New Roman"/>
          <w:sz w:val="24"/>
          <w:szCs w:val="24"/>
        </w:rPr>
        <w:t xml:space="preserve"> exceptions at all</w:t>
      </w:r>
      <w:r w:rsidR="00D065A7">
        <w:rPr>
          <w:rFonts w:ascii="Times New Roman" w:hAnsi="Times New Roman" w:cs="Times New Roman"/>
          <w:sz w:val="24"/>
          <w:szCs w:val="24"/>
        </w:rPr>
        <w:t xml:space="preserve">, the practitioner must include a </w:t>
      </w:r>
      <w:r>
        <w:rPr>
          <w:rFonts w:ascii="Times New Roman" w:hAnsi="Times New Roman" w:cs="Times New Roman"/>
          <w:sz w:val="24"/>
          <w:szCs w:val="24"/>
        </w:rPr>
        <w:t xml:space="preserve">statement that </w:t>
      </w:r>
      <w:r w:rsidR="00D065A7">
        <w:rPr>
          <w:rFonts w:ascii="Times New Roman" w:hAnsi="Times New Roman" w:cs="Times New Roman"/>
          <w:sz w:val="24"/>
          <w:szCs w:val="24"/>
        </w:rPr>
        <w:t>“</w:t>
      </w:r>
      <w:r>
        <w:rPr>
          <w:rFonts w:ascii="Times New Roman" w:hAnsi="Times New Roman" w:cs="Times New Roman"/>
          <w:sz w:val="24"/>
          <w:szCs w:val="24"/>
        </w:rPr>
        <w:t>management declined to respond to the exceptions</w:t>
      </w:r>
      <w:r w:rsidR="00D065A7">
        <w:rPr>
          <w:rFonts w:ascii="Times New Roman" w:hAnsi="Times New Roman" w:cs="Times New Roman"/>
          <w:sz w:val="24"/>
          <w:szCs w:val="24"/>
        </w:rPr>
        <w:t xml:space="preserve"> or provide a plan of corrective action</w:t>
      </w:r>
      <w:r>
        <w:rPr>
          <w:rFonts w:ascii="Times New Roman" w:hAnsi="Times New Roman" w:cs="Times New Roman"/>
          <w:sz w:val="24"/>
          <w:szCs w:val="24"/>
        </w:rPr>
        <w:t>.</w:t>
      </w:r>
      <w:r w:rsidR="00D065A7">
        <w:rPr>
          <w:rFonts w:ascii="Times New Roman" w:hAnsi="Times New Roman" w:cs="Times New Roman"/>
          <w:sz w:val="24"/>
          <w:szCs w:val="24"/>
        </w:rPr>
        <w:t>”</w:t>
      </w:r>
      <w:r w:rsidR="00600AFA">
        <w:rPr>
          <w:rFonts w:ascii="Times New Roman" w:hAnsi="Times New Roman" w:cs="Times New Roman"/>
          <w:sz w:val="24"/>
          <w:szCs w:val="24"/>
        </w:rPr>
        <w:t xml:space="preserve">  If no exceptions are noted when performing a procedure, “no exceptions </w:t>
      </w:r>
      <w:r w:rsidR="003009E6">
        <w:rPr>
          <w:rFonts w:ascii="Times New Roman" w:hAnsi="Times New Roman" w:cs="Times New Roman"/>
          <w:sz w:val="24"/>
          <w:szCs w:val="24"/>
        </w:rPr>
        <w:t xml:space="preserve">were found as a result of </w:t>
      </w:r>
      <w:r w:rsidR="00B35DC3">
        <w:rPr>
          <w:rFonts w:ascii="Times New Roman" w:hAnsi="Times New Roman" w:cs="Times New Roman"/>
          <w:sz w:val="24"/>
          <w:szCs w:val="24"/>
        </w:rPr>
        <w:t>this</w:t>
      </w:r>
      <w:r w:rsidR="003009E6">
        <w:rPr>
          <w:rFonts w:ascii="Times New Roman" w:hAnsi="Times New Roman" w:cs="Times New Roman"/>
          <w:sz w:val="24"/>
          <w:szCs w:val="24"/>
        </w:rPr>
        <w:t xml:space="preserve"> procedure</w:t>
      </w:r>
      <w:r w:rsidR="00600AFA">
        <w:rPr>
          <w:rFonts w:ascii="Times New Roman" w:hAnsi="Times New Roman" w:cs="Times New Roman"/>
          <w:sz w:val="24"/>
          <w:szCs w:val="24"/>
        </w:rPr>
        <w:t>” is an acceptable result in the AUP report.</w:t>
      </w:r>
      <w:r w:rsidR="00536E2E">
        <w:rPr>
          <w:rFonts w:ascii="Times New Roman" w:hAnsi="Times New Roman" w:cs="Times New Roman"/>
          <w:sz w:val="24"/>
          <w:szCs w:val="24"/>
        </w:rPr>
        <w:t xml:space="preserve"> </w:t>
      </w:r>
    </w:p>
    <w:p w14:paraId="5485ED8E" w14:textId="34ADDC72" w:rsidR="00773CBA" w:rsidRDefault="00C25B14" w:rsidP="00773CBA">
      <w:pPr>
        <w:jc w:val="both"/>
        <w:rPr>
          <w:rFonts w:ascii="Times New Roman" w:hAnsi="Times New Roman" w:cs="Times New Roman"/>
          <w:sz w:val="24"/>
          <w:szCs w:val="24"/>
        </w:rPr>
      </w:pPr>
      <w:r>
        <w:rPr>
          <w:rFonts w:ascii="Times New Roman" w:hAnsi="Times New Roman" w:cs="Times New Roman"/>
          <w:sz w:val="24"/>
          <w:szCs w:val="24"/>
        </w:rPr>
        <w:t xml:space="preserve">To avoid the possible exposure of entity </w:t>
      </w:r>
      <w:r w:rsidR="003B58F2">
        <w:rPr>
          <w:rFonts w:ascii="Times New Roman" w:hAnsi="Times New Roman" w:cs="Times New Roman"/>
          <w:sz w:val="24"/>
          <w:szCs w:val="24"/>
        </w:rPr>
        <w:t>i</w:t>
      </w:r>
      <w:r>
        <w:rPr>
          <w:rFonts w:ascii="Times New Roman" w:hAnsi="Times New Roman" w:cs="Times New Roman"/>
          <w:sz w:val="24"/>
          <w:szCs w:val="24"/>
        </w:rPr>
        <w:t xml:space="preserve">nformation </w:t>
      </w:r>
      <w:r w:rsidR="003B58F2">
        <w:rPr>
          <w:rFonts w:ascii="Times New Roman" w:hAnsi="Times New Roman" w:cs="Times New Roman"/>
          <w:sz w:val="24"/>
          <w:szCs w:val="24"/>
        </w:rPr>
        <w:t>t</w:t>
      </w:r>
      <w:r>
        <w:rPr>
          <w:rFonts w:ascii="Times New Roman" w:hAnsi="Times New Roman" w:cs="Times New Roman"/>
          <w:sz w:val="24"/>
          <w:szCs w:val="24"/>
        </w:rPr>
        <w:t>echnology vulnerabilities</w:t>
      </w:r>
      <w:r w:rsidR="0099012F">
        <w:rPr>
          <w:rFonts w:ascii="Times New Roman" w:hAnsi="Times New Roman" w:cs="Times New Roman"/>
          <w:sz w:val="24"/>
          <w:szCs w:val="24"/>
        </w:rPr>
        <w:t>, we ask that results of</w:t>
      </w:r>
      <w:r w:rsidR="00536E2E">
        <w:rPr>
          <w:rFonts w:ascii="Times New Roman" w:hAnsi="Times New Roman" w:cs="Times New Roman"/>
          <w:sz w:val="24"/>
          <w:szCs w:val="24"/>
        </w:rPr>
        <w:t xml:space="preserve"> the </w:t>
      </w:r>
      <w:bookmarkStart w:id="2" w:name="_Hlk78800089"/>
      <w:bookmarkStart w:id="3" w:name="_Hlk78804144"/>
      <w:r w:rsidR="00536E2E">
        <w:rPr>
          <w:rFonts w:ascii="Times New Roman" w:hAnsi="Times New Roman" w:cs="Times New Roman"/>
          <w:sz w:val="24"/>
          <w:szCs w:val="24"/>
        </w:rPr>
        <w:t>Information Technology Disaster Recovery/Business Continuity AUP</w:t>
      </w:r>
      <w:bookmarkEnd w:id="2"/>
      <w:r w:rsidR="00536E2E">
        <w:rPr>
          <w:rFonts w:ascii="Times New Roman" w:hAnsi="Times New Roman" w:cs="Times New Roman"/>
          <w:sz w:val="24"/>
          <w:szCs w:val="24"/>
        </w:rPr>
        <w:t xml:space="preserve"> </w:t>
      </w:r>
      <w:bookmarkEnd w:id="3"/>
      <w:r w:rsidR="007E18C7">
        <w:rPr>
          <w:rFonts w:ascii="Times New Roman" w:hAnsi="Times New Roman" w:cs="Times New Roman"/>
          <w:sz w:val="24"/>
          <w:szCs w:val="24"/>
        </w:rPr>
        <w:t>testing</w:t>
      </w:r>
      <w:r w:rsidR="0099012F">
        <w:rPr>
          <w:rFonts w:ascii="Times New Roman" w:hAnsi="Times New Roman" w:cs="Times New Roman"/>
          <w:sz w:val="24"/>
          <w:szCs w:val="24"/>
        </w:rPr>
        <w:t xml:space="preserve"> be discussed with management and not shown within the AUP report. Instead</w:t>
      </w:r>
      <w:r w:rsidR="00BD0A4B">
        <w:rPr>
          <w:rFonts w:ascii="Times New Roman" w:hAnsi="Times New Roman" w:cs="Times New Roman"/>
          <w:sz w:val="24"/>
          <w:szCs w:val="24"/>
        </w:rPr>
        <w:t>,</w:t>
      </w:r>
      <w:r w:rsidR="0099012F">
        <w:rPr>
          <w:rFonts w:ascii="Times New Roman" w:hAnsi="Times New Roman" w:cs="Times New Roman"/>
          <w:sz w:val="24"/>
          <w:szCs w:val="24"/>
        </w:rPr>
        <w:t xml:space="preserve"> we ask that each </w:t>
      </w:r>
      <w:r w:rsidR="008975C9" w:rsidRPr="008975C9">
        <w:rPr>
          <w:rFonts w:ascii="Times New Roman" w:hAnsi="Times New Roman" w:cs="Times New Roman"/>
          <w:sz w:val="24"/>
          <w:szCs w:val="24"/>
        </w:rPr>
        <w:t>procedure</w:t>
      </w:r>
      <w:r w:rsidR="0099012F">
        <w:rPr>
          <w:rFonts w:ascii="Times New Roman" w:hAnsi="Times New Roman" w:cs="Times New Roman"/>
          <w:sz w:val="24"/>
          <w:szCs w:val="24"/>
        </w:rPr>
        <w:t xml:space="preserve"> </w:t>
      </w:r>
      <w:r w:rsidR="008975C9">
        <w:rPr>
          <w:rFonts w:ascii="Times New Roman" w:hAnsi="Times New Roman" w:cs="Times New Roman"/>
          <w:sz w:val="24"/>
          <w:szCs w:val="24"/>
        </w:rPr>
        <w:t>under</w:t>
      </w:r>
      <w:r w:rsidR="0099012F">
        <w:rPr>
          <w:rFonts w:ascii="Times New Roman" w:hAnsi="Times New Roman" w:cs="Times New Roman"/>
          <w:sz w:val="24"/>
          <w:szCs w:val="24"/>
        </w:rPr>
        <w:t xml:space="preserve"> the Information Technology Disaster Recovery/Business Continuity AUP </w:t>
      </w:r>
      <w:r w:rsidR="008975C9">
        <w:rPr>
          <w:rFonts w:ascii="Times New Roman" w:hAnsi="Times New Roman" w:cs="Times New Roman"/>
          <w:sz w:val="24"/>
          <w:szCs w:val="24"/>
        </w:rPr>
        <w:t xml:space="preserve">category </w:t>
      </w:r>
      <w:r w:rsidR="0099012F">
        <w:rPr>
          <w:rFonts w:ascii="Times New Roman" w:hAnsi="Times New Roman" w:cs="Times New Roman"/>
          <w:sz w:val="24"/>
          <w:szCs w:val="24"/>
        </w:rPr>
        <w:t xml:space="preserve">be </w:t>
      </w:r>
      <w:r w:rsidR="00536E2E">
        <w:rPr>
          <w:rFonts w:ascii="Times New Roman" w:hAnsi="Times New Roman" w:cs="Times New Roman"/>
          <w:sz w:val="24"/>
          <w:szCs w:val="24"/>
        </w:rPr>
        <w:t>followed by the statement</w:t>
      </w:r>
      <w:r w:rsidR="00BD0A4B">
        <w:rPr>
          <w:rFonts w:ascii="Times New Roman" w:hAnsi="Times New Roman" w:cs="Times New Roman"/>
          <w:sz w:val="24"/>
          <w:szCs w:val="24"/>
        </w:rPr>
        <w:t>,</w:t>
      </w:r>
      <w:r w:rsidR="00536E2E">
        <w:rPr>
          <w:rFonts w:ascii="Times New Roman" w:hAnsi="Times New Roman" w:cs="Times New Roman"/>
          <w:sz w:val="24"/>
          <w:szCs w:val="24"/>
        </w:rPr>
        <w:t xml:space="preserve"> “</w:t>
      </w:r>
      <w:r w:rsidR="00536E2E" w:rsidRPr="004D05A7">
        <w:rPr>
          <w:rFonts w:ascii="Times New Roman" w:eastAsia="Calibri" w:hAnsi="Times New Roman" w:cs="Times New Roman"/>
          <w:b/>
          <w:sz w:val="24"/>
          <w:szCs w:val="24"/>
        </w:rPr>
        <w:t>We performed the procedure and discussed the results with management.”</w:t>
      </w:r>
      <w:r w:rsidR="0099012F">
        <w:rPr>
          <w:rFonts w:ascii="Times New Roman" w:eastAsia="Calibri" w:hAnsi="Times New Roman" w:cs="Times New Roman"/>
          <w:b/>
          <w:sz w:val="24"/>
          <w:szCs w:val="24"/>
        </w:rPr>
        <w:t xml:space="preserve"> </w:t>
      </w:r>
      <w:r w:rsidR="0099012F" w:rsidRPr="0099012F">
        <w:rPr>
          <w:rFonts w:ascii="Times New Roman" w:eastAsia="Calibri" w:hAnsi="Times New Roman" w:cs="Times New Roman"/>
          <w:i/>
          <w:sz w:val="24"/>
          <w:szCs w:val="24"/>
        </w:rPr>
        <w:t>Note:</w:t>
      </w:r>
      <w:r w:rsidR="0099012F">
        <w:rPr>
          <w:rFonts w:ascii="Times New Roman" w:eastAsia="Calibri" w:hAnsi="Times New Roman" w:cs="Times New Roman"/>
          <w:b/>
          <w:sz w:val="24"/>
          <w:szCs w:val="24"/>
        </w:rPr>
        <w:t xml:space="preserve"> </w:t>
      </w:r>
      <w:r w:rsidR="00536E2E" w:rsidRPr="0099012F">
        <w:rPr>
          <w:rFonts w:ascii="Times New Roman" w:eastAsia="Calibri" w:hAnsi="Times New Roman" w:cs="Times New Roman"/>
          <w:i/>
          <w:sz w:val="24"/>
          <w:szCs w:val="24"/>
        </w:rPr>
        <w:t xml:space="preserve">The practitioner should maintain documentation of </w:t>
      </w:r>
      <w:r w:rsidR="00536E2E" w:rsidRPr="0099012F">
        <w:rPr>
          <w:rFonts w:ascii="Times New Roman" w:hAnsi="Times New Roman" w:cs="Times New Roman"/>
          <w:i/>
          <w:sz w:val="24"/>
          <w:szCs w:val="24"/>
        </w:rPr>
        <w:t xml:space="preserve">Information Technology Disaster Recovery/Business Continuity AUP testing and </w:t>
      </w:r>
      <w:r w:rsidR="00124846" w:rsidRPr="0099012F">
        <w:rPr>
          <w:rFonts w:ascii="Times New Roman" w:hAnsi="Times New Roman" w:cs="Times New Roman"/>
          <w:i/>
          <w:sz w:val="24"/>
          <w:szCs w:val="24"/>
        </w:rPr>
        <w:t xml:space="preserve">subsequent </w:t>
      </w:r>
      <w:r w:rsidR="00536E2E" w:rsidRPr="0099012F">
        <w:rPr>
          <w:rFonts w:ascii="Times New Roman" w:hAnsi="Times New Roman" w:cs="Times New Roman"/>
          <w:i/>
          <w:sz w:val="24"/>
          <w:szCs w:val="24"/>
        </w:rPr>
        <w:t>results in the engagement workpapers</w:t>
      </w:r>
      <w:r w:rsidR="00536E2E">
        <w:rPr>
          <w:rFonts w:ascii="Times New Roman" w:hAnsi="Times New Roman" w:cs="Times New Roman"/>
          <w:sz w:val="24"/>
          <w:szCs w:val="24"/>
        </w:rPr>
        <w:t>.</w:t>
      </w:r>
    </w:p>
    <w:p w14:paraId="30F73FF9" w14:textId="17240B51" w:rsidR="001D2803" w:rsidRDefault="001D2803" w:rsidP="001D2803">
      <w:pPr>
        <w:jc w:val="both"/>
        <w:rPr>
          <w:rFonts w:ascii="Times New Roman" w:hAnsi="Times New Roman" w:cs="Times New Roman"/>
          <w:sz w:val="24"/>
          <w:szCs w:val="24"/>
        </w:rPr>
      </w:pPr>
      <w:r w:rsidRPr="001D2803">
        <w:rPr>
          <w:rFonts w:ascii="Times New Roman" w:hAnsi="Times New Roman" w:cs="Times New Roman"/>
          <w:sz w:val="24"/>
          <w:szCs w:val="24"/>
        </w:rPr>
        <w:t>The attestation standards for agreed-upon procedures engagements require that the practitioner report exceptions to procedures even when there are compensating controls; however, the LLA does not want to penalize entities for exceptions that do not directly correspond to control risks. Accordingly, if the</w:t>
      </w:r>
      <w:r>
        <w:rPr>
          <w:rFonts w:ascii="Times New Roman" w:hAnsi="Times New Roman" w:cs="Times New Roman"/>
          <w:sz w:val="24"/>
          <w:szCs w:val="24"/>
        </w:rPr>
        <w:t xml:space="preserve"> entity had exceptions within an AUP category, based strictly on the wording of the procedure, but the practitioner believes that compensating controls </w:t>
      </w:r>
      <w:r w:rsidRPr="00013BAF">
        <w:rPr>
          <w:rFonts w:ascii="Times New Roman" w:hAnsi="Times New Roman" w:cs="Times New Roman"/>
          <w:b/>
          <w:sz w:val="24"/>
          <w:szCs w:val="24"/>
          <w:u w:val="single"/>
        </w:rPr>
        <w:t>fully</w:t>
      </w:r>
      <w:r>
        <w:rPr>
          <w:rFonts w:ascii="Times New Roman" w:hAnsi="Times New Roman" w:cs="Times New Roman"/>
          <w:sz w:val="24"/>
          <w:szCs w:val="24"/>
        </w:rPr>
        <w:t xml:space="preserve"> mitigated the underlying control risk, the entity may report no exceptions. </w:t>
      </w:r>
      <w:r w:rsidR="003B58F2">
        <w:rPr>
          <w:rFonts w:ascii="Times New Roman" w:hAnsi="Times New Roman" w:cs="Times New Roman"/>
          <w:sz w:val="24"/>
          <w:szCs w:val="24"/>
        </w:rPr>
        <w:t>T</w:t>
      </w:r>
      <w:r>
        <w:rPr>
          <w:rFonts w:ascii="Times New Roman" w:hAnsi="Times New Roman" w:cs="Times New Roman"/>
          <w:sz w:val="24"/>
          <w:szCs w:val="24"/>
        </w:rPr>
        <w:t xml:space="preserve">he practitioner should maintain documentation of compensating controls in the engagement workpapers.  </w:t>
      </w:r>
    </w:p>
    <w:p w14:paraId="185DEFB4" w14:textId="261D6E42" w:rsidR="004338D6" w:rsidRDefault="00773CBA" w:rsidP="00263767">
      <w:pPr>
        <w:jc w:val="both"/>
        <w:rPr>
          <w:rFonts w:ascii="Times New Roman" w:hAnsi="Times New Roman" w:cs="Times New Roman"/>
          <w:sz w:val="24"/>
          <w:szCs w:val="24"/>
        </w:rPr>
      </w:pPr>
      <w:r>
        <w:rPr>
          <w:rFonts w:ascii="Times New Roman" w:hAnsi="Times New Roman" w:cs="Times New Roman"/>
          <w:sz w:val="24"/>
          <w:szCs w:val="24"/>
        </w:rPr>
        <w:t xml:space="preserve">Please note the results of the AUPs do not change the practitioner’s separate responsibility to report significant deficiencies, material weaknesses, material noncompliance, etc., as part of the regular </w:t>
      </w:r>
      <w:r w:rsidRPr="004338D6">
        <w:rPr>
          <w:rFonts w:ascii="Times New Roman" w:hAnsi="Times New Roman" w:cs="Times New Roman"/>
          <w:sz w:val="24"/>
          <w:szCs w:val="24"/>
          <w:u w:val="single"/>
        </w:rPr>
        <w:t>audit</w:t>
      </w:r>
      <w:r>
        <w:rPr>
          <w:rFonts w:ascii="Times New Roman" w:hAnsi="Times New Roman" w:cs="Times New Roman"/>
          <w:sz w:val="24"/>
          <w:szCs w:val="24"/>
        </w:rPr>
        <w:t xml:space="preserve"> engagement.  However, the practitioner should not include the AUP exceptions or internal auditor’s exceptions (or a reference to the exceptions) in the audit report’s schedule of findings, unless an AUP or internal audit exception rises to the level of a significant deficiency or material weakness and is included as a finding for purposes of the audit.  </w:t>
      </w:r>
      <w:r w:rsidR="004338D6">
        <w:rPr>
          <w:rFonts w:ascii="Times New Roman" w:hAnsi="Times New Roman" w:cs="Times New Roman"/>
          <w:sz w:val="24"/>
          <w:szCs w:val="24"/>
        </w:rPr>
        <w:t>Similarly, AUP exceptions should not be copied and pasted as findings in the LLA report submission portal unless they are addressed as findings in the audit report.</w:t>
      </w:r>
    </w:p>
    <w:p w14:paraId="66C1815D" w14:textId="77777777" w:rsidR="006124AE" w:rsidRDefault="00773CBA" w:rsidP="00263767">
      <w:pPr>
        <w:jc w:val="both"/>
        <w:rPr>
          <w:rFonts w:ascii="Times New Roman" w:hAnsi="Times New Roman" w:cs="Times New Roman"/>
          <w:sz w:val="24"/>
          <w:szCs w:val="24"/>
        </w:rPr>
      </w:pPr>
      <w:r>
        <w:rPr>
          <w:rFonts w:ascii="Times New Roman" w:hAnsi="Times New Roman" w:cs="Times New Roman"/>
          <w:sz w:val="24"/>
          <w:szCs w:val="24"/>
        </w:rPr>
        <w:t xml:space="preserve">Under the attest standards, practitioners </w:t>
      </w:r>
      <w:r w:rsidR="00230F9C">
        <w:rPr>
          <w:rFonts w:ascii="Times New Roman" w:hAnsi="Times New Roman" w:cs="Times New Roman"/>
          <w:sz w:val="24"/>
          <w:szCs w:val="24"/>
        </w:rPr>
        <w:t>a</w:t>
      </w:r>
      <w:r>
        <w:rPr>
          <w:rFonts w:ascii="Times New Roman" w:hAnsi="Times New Roman" w:cs="Times New Roman"/>
          <w:sz w:val="24"/>
          <w:szCs w:val="24"/>
        </w:rPr>
        <w:t xml:space="preserve">re also allowed to report “knowledge of matters outside agreed-upon procedures” </w:t>
      </w:r>
      <w:r w:rsidR="004338D6">
        <w:rPr>
          <w:rFonts w:ascii="Times New Roman" w:hAnsi="Times New Roman" w:cs="Times New Roman"/>
          <w:sz w:val="24"/>
          <w:szCs w:val="24"/>
        </w:rPr>
        <w:t xml:space="preserve">within the AUP report </w:t>
      </w:r>
      <w:r>
        <w:rPr>
          <w:rFonts w:ascii="Times New Roman" w:hAnsi="Times New Roman" w:cs="Times New Roman"/>
          <w:sz w:val="24"/>
          <w:szCs w:val="24"/>
        </w:rPr>
        <w:t>if they discover a control deficiency or noncompliance that does not meet the definition of an exception under the AUPs</w:t>
      </w:r>
      <w:r w:rsidR="00230F9C">
        <w:rPr>
          <w:rFonts w:ascii="Times New Roman" w:hAnsi="Times New Roman" w:cs="Times New Roman"/>
          <w:sz w:val="24"/>
          <w:szCs w:val="24"/>
        </w:rPr>
        <w:t xml:space="preserve">.  While the reporting of these matters with the AUP report is at the practitioner’s discretion, the practitioner still has an obligation to consider the associated risk/noncompliance as part of his or her </w:t>
      </w:r>
      <w:r w:rsidR="00230F9C" w:rsidRPr="00230F9C">
        <w:rPr>
          <w:rFonts w:ascii="Times New Roman" w:hAnsi="Times New Roman" w:cs="Times New Roman"/>
          <w:sz w:val="24"/>
          <w:szCs w:val="24"/>
          <w:u w:val="single"/>
        </w:rPr>
        <w:t>audit</w:t>
      </w:r>
      <w:r w:rsidR="00230F9C">
        <w:rPr>
          <w:rFonts w:ascii="Times New Roman" w:hAnsi="Times New Roman" w:cs="Times New Roman"/>
          <w:sz w:val="24"/>
          <w:szCs w:val="24"/>
        </w:rPr>
        <w:t xml:space="preserve">.  </w:t>
      </w:r>
    </w:p>
    <w:p w14:paraId="288CB6BC" w14:textId="77777777" w:rsidR="00773CBA" w:rsidRDefault="006124AE" w:rsidP="00263767">
      <w:pPr>
        <w:jc w:val="both"/>
        <w:rPr>
          <w:rFonts w:ascii="Times New Roman" w:hAnsi="Times New Roman" w:cs="Times New Roman"/>
          <w:sz w:val="24"/>
          <w:szCs w:val="24"/>
        </w:rPr>
      </w:pPr>
      <w:r w:rsidRPr="006124AE">
        <w:rPr>
          <w:rFonts w:ascii="Times New Roman" w:hAnsi="Times New Roman" w:cs="Times New Roman"/>
          <w:sz w:val="24"/>
          <w:szCs w:val="24"/>
        </w:rPr>
        <w:lastRenderedPageBreak/>
        <w:t>If the practitioner has gained “knowledge of matters outside agreed-upon procedures” related to fraud, theft, or the pledge/loan/donation of public funds (LA Const. Art. 7, Section 14</w:t>
      </w:r>
      <w:r w:rsidR="00845BF4">
        <w:rPr>
          <w:rStyle w:val="FootnoteReference"/>
          <w:rFonts w:ascii="Times New Roman" w:hAnsi="Times New Roman" w:cs="Times New Roman"/>
          <w:sz w:val="24"/>
          <w:szCs w:val="24"/>
        </w:rPr>
        <w:footnoteReference w:id="3"/>
      </w:r>
      <w:r w:rsidRPr="006124AE">
        <w:rPr>
          <w:rFonts w:ascii="Times New Roman" w:hAnsi="Times New Roman" w:cs="Times New Roman"/>
          <w:sz w:val="24"/>
          <w:szCs w:val="24"/>
        </w:rPr>
        <w:t xml:space="preserve">), </w:t>
      </w:r>
      <w:r w:rsidRPr="006124AE">
        <w:rPr>
          <w:rFonts w:ascii="Times New Roman" w:hAnsi="Times New Roman" w:cs="Times New Roman"/>
          <w:sz w:val="24"/>
          <w:szCs w:val="24"/>
          <w:u w:val="single"/>
        </w:rPr>
        <w:t xml:space="preserve">and the practitioner does not include </w:t>
      </w:r>
      <w:r w:rsidR="00F70499">
        <w:rPr>
          <w:rFonts w:ascii="Times New Roman" w:hAnsi="Times New Roman" w:cs="Times New Roman"/>
          <w:sz w:val="24"/>
          <w:szCs w:val="24"/>
          <w:u w:val="single"/>
        </w:rPr>
        <w:t xml:space="preserve">these matters </w:t>
      </w:r>
      <w:r w:rsidRPr="006124AE">
        <w:rPr>
          <w:rFonts w:ascii="Times New Roman" w:hAnsi="Times New Roman" w:cs="Times New Roman"/>
          <w:sz w:val="24"/>
          <w:szCs w:val="24"/>
          <w:u w:val="single"/>
        </w:rPr>
        <w:t>in either the AUP report or in the audit report</w:t>
      </w:r>
      <w:r w:rsidRPr="006124AE">
        <w:rPr>
          <w:rFonts w:ascii="Times New Roman" w:hAnsi="Times New Roman" w:cs="Times New Roman"/>
          <w:sz w:val="24"/>
          <w:szCs w:val="24"/>
        </w:rPr>
        <w:t xml:space="preserve">, the practitioner </w:t>
      </w:r>
      <w:r w:rsidRPr="006124AE">
        <w:rPr>
          <w:rFonts w:ascii="Times New Roman" w:hAnsi="Times New Roman" w:cs="Times New Roman"/>
          <w:b/>
          <w:sz w:val="24"/>
          <w:szCs w:val="24"/>
          <w:u w:val="single"/>
        </w:rPr>
        <w:t>MUST</w:t>
      </w:r>
      <w:r w:rsidRPr="006124AE">
        <w:rPr>
          <w:rFonts w:ascii="Times New Roman" w:hAnsi="Times New Roman" w:cs="Times New Roman"/>
          <w:sz w:val="24"/>
          <w:szCs w:val="24"/>
        </w:rPr>
        <w:t xml:space="preserve"> contact the LLA to discuss</w:t>
      </w:r>
      <w:r w:rsidR="00733963">
        <w:rPr>
          <w:rFonts w:ascii="Times New Roman" w:hAnsi="Times New Roman" w:cs="Times New Roman"/>
          <w:sz w:val="24"/>
          <w:szCs w:val="24"/>
        </w:rPr>
        <w:t xml:space="preserve"> before submitting the reports</w:t>
      </w:r>
      <w:r w:rsidR="00552893">
        <w:rPr>
          <w:rFonts w:ascii="Times New Roman" w:hAnsi="Times New Roman" w:cs="Times New Roman"/>
          <w:sz w:val="24"/>
          <w:szCs w:val="24"/>
        </w:rPr>
        <w:t>.</w:t>
      </w:r>
    </w:p>
    <w:p w14:paraId="394B1DFE" w14:textId="77777777" w:rsidR="00773CBA" w:rsidRPr="00223C6C" w:rsidRDefault="00773CBA" w:rsidP="00263767">
      <w:pPr>
        <w:jc w:val="both"/>
        <w:rPr>
          <w:rFonts w:ascii="Times New Roman" w:hAnsi="Times New Roman" w:cs="Times New Roman"/>
          <w:b/>
          <w:i/>
          <w:sz w:val="24"/>
          <w:szCs w:val="24"/>
          <w:u w:val="single"/>
        </w:rPr>
      </w:pPr>
      <w:r w:rsidRPr="00223C6C">
        <w:rPr>
          <w:rFonts w:ascii="Times New Roman" w:hAnsi="Times New Roman" w:cs="Times New Roman"/>
          <w:b/>
          <w:i/>
          <w:sz w:val="24"/>
          <w:szCs w:val="24"/>
          <w:u w:val="single"/>
        </w:rPr>
        <w:t>Applicability of AUPs</w:t>
      </w:r>
    </w:p>
    <w:p w14:paraId="11CA6EFF" w14:textId="77777777" w:rsidR="00773CBA" w:rsidRDefault="00C94CA3" w:rsidP="00263767">
      <w:pPr>
        <w:jc w:val="both"/>
        <w:rPr>
          <w:rFonts w:ascii="Times New Roman" w:hAnsi="Times New Roman" w:cs="Times New Roman"/>
          <w:sz w:val="24"/>
          <w:szCs w:val="24"/>
        </w:rPr>
      </w:pPr>
      <w:r>
        <w:rPr>
          <w:rFonts w:ascii="Times New Roman" w:hAnsi="Times New Roman" w:cs="Times New Roman"/>
          <w:sz w:val="24"/>
          <w:szCs w:val="24"/>
        </w:rPr>
        <w:t xml:space="preserve">Those </w:t>
      </w:r>
      <w:r w:rsidR="00C77982">
        <w:rPr>
          <w:rFonts w:ascii="Times New Roman" w:hAnsi="Times New Roman" w:cs="Times New Roman"/>
          <w:sz w:val="24"/>
          <w:szCs w:val="24"/>
        </w:rPr>
        <w:t>local entities</w:t>
      </w:r>
      <w:r>
        <w:rPr>
          <w:rFonts w:ascii="Times New Roman" w:hAnsi="Times New Roman" w:cs="Times New Roman"/>
          <w:sz w:val="24"/>
          <w:szCs w:val="24"/>
        </w:rPr>
        <w:t xml:space="preserve"> that do not</w:t>
      </w:r>
      <w:r w:rsidR="00404DDC">
        <w:rPr>
          <w:rFonts w:ascii="Times New Roman" w:hAnsi="Times New Roman" w:cs="Times New Roman"/>
          <w:sz w:val="24"/>
          <w:szCs w:val="24"/>
        </w:rPr>
        <w:t xml:space="preserve"> meet the legal requirement </w:t>
      </w:r>
      <w:r w:rsidR="001F4CC6">
        <w:rPr>
          <w:rFonts w:ascii="Times New Roman" w:hAnsi="Times New Roman" w:cs="Times New Roman"/>
          <w:sz w:val="24"/>
          <w:szCs w:val="24"/>
        </w:rPr>
        <w:t xml:space="preserve">to have </w:t>
      </w:r>
      <w:r w:rsidR="00404DDC">
        <w:rPr>
          <w:rFonts w:ascii="Times New Roman" w:hAnsi="Times New Roman" w:cs="Times New Roman"/>
          <w:sz w:val="24"/>
          <w:szCs w:val="24"/>
        </w:rPr>
        <w:t>an audit</w:t>
      </w:r>
      <w:r>
        <w:rPr>
          <w:rFonts w:ascii="Times New Roman" w:hAnsi="Times New Roman" w:cs="Times New Roman"/>
          <w:sz w:val="24"/>
          <w:szCs w:val="24"/>
        </w:rPr>
        <w:t xml:space="preserve"> </w:t>
      </w:r>
      <w:r w:rsidR="005F5CFD">
        <w:rPr>
          <w:rFonts w:ascii="Times New Roman" w:hAnsi="Times New Roman" w:cs="Times New Roman"/>
          <w:sz w:val="24"/>
          <w:szCs w:val="24"/>
        </w:rPr>
        <w:t>under the Audit Law</w:t>
      </w:r>
      <w:r w:rsidR="00505613">
        <w:rPr>
          <w:rFonts w:ascii="Times New Roman" w:hAnsi="Times New Roman" w:cs="Times New Roman"/>
          <w:sz w:val="24"/>
          <w:szCs w:val="24"/>
        </w:rPr>
        <w:t xml:space="preserve"> (i.e., </w:t>
      </w:r>
      <w:r w:rsidR="00965E4C">
        <w:rPr>
          <w:rFonts w:ascii="Times New Roman" w:hAnsi="Times New Roman" w:cs="Times New Roman"/>
          <w:sz w:val="24"/>
          <w:szCs w:val="24"/>
        </w:rPr>
        <w:t xml:space="preserve">public funds totaling </w:t>
      </w:r>
      <w:r w:rsidR="00505613">
        <w:rPr>
          <w:rFonts w:ascii="Times New Roman" w:hAnsi="Times New Roman" w:cs="Times New Roman"/>
          <w:sz w:val="24"/>
          <w:szCs w:val="24"/>
        </w:rPr>
        <w:t>less than $500,000 in revenues and other sources)</w:t>
      </w:r>
      <w:r w:rsidR="005F5CFD">
        <w:rPr>
          <w:rFonts w:ascii="Times New Roman" w:hAnsi="Times New Roman" w:cs="Times New Roman"/>
          <w:sz w:val="24"/>
          <w:szCs w:val="24"/>
        </w:rPr>
        <w:t xml:space="preserve"> </w:t>
      </w:r>
      <w:r>
        <w:rPr>
          <w:rFonts w:ascii="Times New Roman" w:hAnsi="Times New Roman" w:cs="Times New Roman"/>
          <w:sz w:val="24"/>
          <w:szCs w:val="24"/>
        </w:rPr>
        <w:t xml:space="preserve">are exempt from performing these </w:t>
      </w:r>
      <w:r w:rsidR="00C77982">
        <w:rPr>
          <w:rFonts w:ascii="Times New Roman" w:hAnsi="Times New Roman" w:cs="Times New Roman"/>
          <w:sz w:val="24"/>
          <w:szCs w:val="24"/>
        </w:rPr>
        <w:t>AUPs</w:t>
      </w:r>
      <w:r>
        <w:rPr>
          <w:rFonts w:ascii="Times New Roman" w:hAnsi="Times New Roman" w:cs="Times New Roman"/>
          <w:sz w:val="24"/>
          <w:szCs w:val="24"/>
        </w:rPr>
        <w:t>.</w:t>
      </w:r>
      <w:r w:rsidR="00417C40">
        <w:rPr>
          <w:rFonts w:ascii="Times New Roman" w:hAnsi="Times New Roman" w:cs="Times New Roman"/>
          <w:sz w:val="24"/>
          <w:szCs w:val="24"/>
        </w:rPr>
        <w:t xml:space="preserve">  </w:t>
      </w:r>
      <w:r w:rsidR="00965E4C">
        <w:rPr>
          <w:rFonts w:ascii="Times New Roman" w:hAnsi="Times New Roman" w:cs="Times New Roman"/>
          <w:sz w:val="24"/>
          <w:szCs w:val="24"/>
        </w:rPr>
        <w:t xml:space="preserve">If an entity </w:t>
      </w:r>
      <w:r w:rsidR="00965E4C" w:rsidRPr="00773CBA">
        <w:rPr>
          <w:rFonts w:ascii="Times New Roman" w:hAnsi="Times New Roman" w:cs="Times New Roman"/>
          <w:sz w:val="24"/>
          <w:szCs w:val="24"/>
          <w:u w:val="single"/>
        </w:rPr>
        <w:t>elects</w:t>
      </w:r>
      <w:r w:rsidR="00965E4C">
        <w:rPr>
          <w:rFonts w:ascii="Times New Roman" w:hAnsi="Times New Roman" w:cs="Times New Roman"/>
          <w:sz w:val="24"/>
          <w:szCs w:val="24"/>
        </w:rPr>
        <w:t xml:space="preserve"> to have an audit but </w:t>
      </w:r>
      <w:r w:rsidR="00773CBA">
        <w:rPr>
          <w:rFonts w:ascii="Times New Roman" w:hAnsi="Times New Roman" w:cs="Times New Roman"/>
          <w:sz w:val="24"/>
          <w:szCs w:val="24"/>
        </w:rPr>
        <w:t>is not required to have an audit under the Audit Law</w:t>
      </w:r>
      <w:r w:rsidR="00965E4C">
        <w:rPr>
          <w:rFonts w:ascii="Times New Roman" w:hAnsi="Times New Roman" w:cs="Times New Roman"/>
          <w:sz w:val="24"/>
          <w:szCs w:val="24"/>
        </w:rPr>
        <w:t>, the entity would be exempt from performing these AUPs.</w:t>
      </w:r>
    </w:p>
    <w:p w14:paraId="1E10D853" w14:textId="77777777" w:rsidR="00A5584A" w:rsidRDefault="00A5584A" w:rsidP="00263767">
      <w:pPr>
        <w:jc w:val="both"/>
        <w:rPr>
          <w:rFonts w:ascii="Times New Roman" w:hAnsi="Times New Roman" w:cs="Times New Roman"/>
          <w:sz w:val="24"/>
          <w:szCs w:val="24"/>
        </w:rPr>
      </w:pPr>
      <w:r>
        <w:rPr>
          <w:rFonts w:ascii="Times New Roman" w:hAnsi="Times New Roman" w:cs="Times New Roman"/>
          <w:sz w:val="24"/>
          <w:szCs w:val="24"/>
        </w:rPr>
        <w:t>For purposes of the Audit Law, public funds are generally defined as follows:</w:t>
      </w:r>
    </w:p>
    <w:p w14:paraId="074797A9" w14:textId="77777777" w:rsidR="00A5584A" w:rsidRDefault="00A5584A" w:rsidP="00A278A9">
      <w:pPr>
        <w:pStyle w:val="ListParagraph"/>
        <w:numPr>
          <w:ilvl w:val="0"/>
          <w:numId w:val="34"/>
        </w:numPr>
        <w:spacing w:after="200"/>
        <w:contextualSpacing w:val="0"/>
        <w:jc w:val="both"/>
        <w:rPr>
          <w:szCs w:val="24"/>
        </w:rPr>
      </w:pPr>
      <w:r>
        <w:rPr>
          <w:szCs w:val="24"/>
        </w:rPr>
        <w:t xml:space="preserve">For governmental entities, including non-profits created by a governmental entity to perform the same activities as the governmental entity, </w:t>
      </w:r>
      <w:r w:rsidRPr="00A278A9">
        <w:rPr>
          <w:b/>
          <w:szCs w:val="24"/>
          <w:u w:val="single"/>
        </w:rPr>
        <w:t>all</w:t>
      </w:r>
      <w:r>
        <w:rPr>
          <w:szCs w:val="24"/>
        </w:rPr>
        <w:t xml:space="preserve"> revenues and other sources are considered to be public funds.</w:t>
      </w:r>
    </w:p>
    <w:p w14:paraId="6091E803" w14:textId="0CEECDEB" w:rsidR="00A5584A" w:rsidRDefault="00A278A9" w:rsidP="00A278A9">
      <w:pPr>
        <w:pStyle w:val="ListParagraph"/>
        <w:numPr>
          <w:ilvl w:val="0"/>
          <w:numId w:val="34"/>
        </w:numPr>
        <w:spacing w:after="200"/>
        <w:contextualSpacing w:val="0"/>
        <w:jc w:val="both"/>
        <w:rPr>
          <w:szCs w:val="24"/>
        </w:rPr>
      </w:pPr>
      <w:r>
        <w:rPr>
          <w:szCs w:val="24"/>
        </w:rPr>
        <w:t xml:space="preserve">For non-profit entities, any funds received from state or local governments, including grants, loans, transfers of property, awards, direct appropriations, and pass-through federal funds are considered to be public funds.  Public funds also include direct federal funds unless the non-profit receives </w:t>
      </w:r>
      <w:r w:rsidRPr="00A278A9">
        <w:rPr>
          <w:b/>
          <w:szCs w:val="24"/>
          <w:u w:val="single"/>
        </w:rPr>
        <w:t>only</w:t>
      </w:r>
      <w:r>
        <w:rPr>
          <w:szCs w:val="24"/>
        </w:rPr>
        <w:t xml:space="preserve"> federal direct funds (i.e.</w:t>
      </w:r>
      <w:r w:rsidR="00BD0A4B">
        <w:rPr>
          <w:szCs w:val="24"/>
        </w:rPr>
        <w:t>,</w:t>
      </w:r>
      <w:r>
        <w:rPr>
          <w:szCs w:val="24"/>
        </w:rPr>
        <w:t xml:space="preserve"> even $1 of other public funds requires the non-profit to treat federal direct funds as public funds for purposes of the Audit Law).</w:t>
      </w:r>
      <w:r w:rsidR="00184AF4">
        <w:rPr>
          <w:szCs w:val="24"/>
        </w:rPr>
        <w:t xml:space="preserve">  Medicare and Medicaid funds are considered to be contract/vendor payments</w:t>
      </w:r>
      <w:r w:rsidR="00E604F5">
        <w:rPr>
          <w:szCs w:val="24"/>
        </w:rPr>
        <w:t xml:space="preserve"> and are not considered public funds for non-profits.</w:t>
      </w:r>
    </w:p>
    <w:p w14:paraId="587EAF14" w14:textId="405E754E" w:rsidR="007A360D" w:rsidRDefault="00CF1694" w:rsidP="00263767">
      <w:pPr>
        <w:jc w:val="both"/>
        <w:rPr>
          <w:rFonts w:ascii="Times New Roman" w:hAnsi="Times New Roman" w:cs="Times New Roman"/>
          <w:sz w:val="24"/>
          <w:szCs w:val="24"/>
        </w:rPr>
      </w:pPr>
      <w:r>
        <w:rPr>
          <w:rFonts w:ascii="Times New Roman" w:hAnsi="Times New Roman" w:cs="Times New Roman"/>
          <w:sz w:val="24"/>
          <w:szCs w:val="24"/>
        </w:rPr>
        <w:t>If either a government</w:t>
      </w:r>
      <w:r w:rsidR="00283A93">
        <w:rPr>
          <w:rFonts w:ascii="Times New Roman" w:hAnsi="Times New Roman" w:cs="Times New Roman"/>
          <w:sz w:val="24"/>
          <w:szCs w:val="24"/>
        </w:rPr>
        <w:t>al</w:t>
      </w:r>
      <w:r>
        <w:rPr>
          <w:rFonts w:ascii="Times New Roman" w:hAnsi="Times New Roman" w:cs="Times New Roman"/>
          <w:sz w:val="24"/>
          <w:szCs w:val="24"/>
        </w:rPr>
        <w:t xml:space="preserve"> or non-profit entity has </w:t>
      </w:r>
      <w:r w:rsidR="00A346F0">
        <w:rPr>
          <w:rFonts w:ascii="Times New Roman" w:hAnsi="Times New Roman" w:cs="Times New Roman"/>
          <w:sz w:val="24"/>
          <w:szCs w:val="24"/>
        </w:rPr>
        <w:t>met the Audit Law threshold</w:t>
      </w:r>
      <w:r w:rsidR="00283A93">
        <w:rPr>
          <w:rFonts w:ascii="Times New Roman" w:hAnsi="Times New Roman" w:cs="Times New Roman"/>
          <w:sz w:val="24"/>
          <w:szCs w:val="24"/>
        </w:rPr>
        <w:t>, and all or part of the entity’s public funds are federal major program funds</w:t>
      </w:r>
      <w:r w:rsidR="00A346F0">
        <w:rPr>
          <w:rFonts w:ascii="Times New Roman" w:hAnsi="Times New Roman" w:cs="Times New Roman"/>
          <w:sz w:val="24"/>
          <w:szCs w:val="24"/>
        </w:rPr>
        <w:t xml:space="preserve"> (either direct or pass-through) </w:t>
      </w:r>
      <w:r w:rsidR="00283A93">
        <w:rPr>
          <w:rFonts w:ascii="Times New Roman" w:hAnsi="Times New Roman" w:cs="Times New Roman"/>
          <w:sz w:val="24"/>
          <w:szCs w:val="24"/>
        </w:rPr>
        <w:t>tested under the entity’s Single Audit during the fiscal period, the entity may exclude</w:t>
      </w:r>
      <w:r w:rsidR="00141FA6">
        <w:rPr>
          <w:rFonts w:ascii="Times New Roman" w:hAnsi="Times New Roman" w:cs="Times New Roman"/>
          <w:sz w:val="24"/>
          <w:szCs w:val="24"/>
        </w:rPr>
        <w:t xml:space="preserve"> those AUP categories that are covered under federal program testing, regardless of whether the federal program testing includes the same procedures or sample sizes</w:t>
      </w:r>
      <w:r w:rsidR="00283A93">
        <w:rPr>
          <w:rFonts w:ascii="Times New Roman" w:hAnsi="Times New Roman" w:cs="Times New Roman"/>
          <w:sz w:val="24"/>
          <w:szCs w:val="24"/>
        </w:rPr>
        <w:t xml:space="preserve">.  </w:t>
      </w:r>
      <w:r w:rsidR="00141FA6">
        <w:rPr>
          <w:rFonts w:ascii="Times New Roman" w:hAnsi="Times New Roman" w:cs="Times New Roman"/>
          <w:sz w:val="24"/>
          <w:szCs w:val="24"/>
        </w:rPr>
        <w:t xml:space="preserve">For example, a non-profit entity that has one federal program subject to Single Audit testing may exclude credit cards, travel expenditures, non-payroll disbursements, contracts, and payroll and personnel if these areas are subject to </w:t>
      </w:r>
      <w:r w:rsidR="008C34FB">
        <w:rPr>
          <w:rFonts w:ascii="Times New Roman" w:hAnsi="Times New Roman" w:cs="Times New Roman"/>
          <w:sz w:val="24"/>
          <w:szCs w:val="24"/>
        </w:rPr>
        <w:t xml:space="preserve">testing under Allowable Costs and Procurement </w:t>
      </w:r>
      <w:r w:rsidR="00CC004B">
        <w:rPr>
          <w:rFonts w:ascii="Times New Roman" w:hAnsi="Times New Roman" w:cs="Times New Roman"/>
          <w:sz w:val="24"/>
          <w:szCs w:val="24"/>
        </w:rPr>
        <w:t>in</w:t>
      </w:r>
      <w:r w:rsidR="008C34FB">
        <w:rPr>
          <w:rFonts w:ascii="Times New Roman" w:hAnsi="Times New Roman" w:cs="Times New Roman"/>
          <w:sz w:val="24"/>
          <w:szCs w:val="24"/>
        </w:rPr>
        <w:t xml:space="preserve"> the OMB Compliance Supplement; however, the entity would still be subject to other AUP areas that are not addressed in the OMB Compliance Supplement (e.g.</w:t>
      </w:r>
      <w:r w:rsidR="00BD0A4B">
        <w:rPr>
          <w:rFonts w:ascii="Times New Roman" w:hAnsi="Times New Roman" w:cs="Times New Roman"/>
          <w:sz w:val="24"/>
          <w:szCs w:val="24"/>
        </w:rPr>
        <w:t>,</w:t>
      </w:r>
      <w:r w:rsidR="008C34FB">
        <w:rPr>
          <w:rFonts w:ascii="Times New Roman" w:hAnsi="Times New Roman" w:cs="Times New Roman"/>
          <w:sz w:val="24"/>
          <w:szCs w:val="24"/>
        </w:rPr>
        <w:t xml:space="preserve"> board or finance committee, bank reconciliations).</w:t>
      </w:r>
      <w:r w:rsidR="007869C4">
        <w:rPr>
          <w:rFonts w:ascii="Times New Roman" w:hAnsi="Times New Roman" w:cs="Times New Roman"/>
          <w:sz w:val="24"/>
          <w:szCs w:val="24"/>
        </w:rPr>
        <w:t xml:space="preserve">  However, an entity that has other public funds not subject to testing under the Single Audit must still test those funds under the statewide AUPs.  In that situation, we recommend selecting sample sizes for the </w:t>
      </w:r>
      <w:r w:rsidR="007869C4">
        <w:rPr>
          <w:rFonts w:ascii="Times New Roman" w:hAnsi="Times New Roman" w:cs="Times New Roman"/>
          <w:sz w:val="24"/>
          <w:szCs w:val="24"/>
        </w:rPr>
        <w:lastRenderedPageBreak/>
        <w:t>applicable AUP categories from the overall population of transactions and then removing those sample items that fall within Single Audit testing.  Alternatively, the practitioner could apply a pro-rata ratio to the statewide AUP sample sizes to accomplish the same goal.</w:t>
      </w:r>
    </w:p>
    <w:p w14:paraId="0F0F7300" w14:textId="5F06DB71" w:rsidR="00D262B8" w:rsidRDefault="00773CBA" w:rsidP="00263767">
      <w:pPr>
        <w:jc w:val="both"/>
        <w:rPr>
          <w:rFonts w:ascii="Times New Roman" w:hAnsi="Times New Roman" w:cs="Times New Roman"/>
          <w:sz w:val="24"/>
          <w:szCs w:val="24"/>
        </w:rPr>
      </w:pPr>
      <w:r>
        <w:rPr>
          <w:rFonts w:ascii="Times New Roman" w:hAnsi="Times New Roman" w:cs="Times New Roman"/>
          <w:sz w:val="24"/>
          <w:szCs w:val="24"/>
        </w:rPr>
        <w:t>S</w:t>
      </w:r>
      <w:r w:rsidR="00417C40">
        <w:rPr>
          <w:rFonts w:ascii="Times New Roman" w:hAnsi="Times New Roman" w:cs="Times New Roman"/>
          <w:sz w:val="24"/>
          <w:szCs w:val="24"/>
        </w:rPr>
        <w:t>tate entities</w:t>
      </w:r>
      <w:r w:rsidR="00A5584A">
        <w:rPr>
          <w:rFonts w:ascii="Times New Roman" w:hAnsi="Times New Roman" w:cs="Times New Roman"/>
          <w:sz w:val="24"/>
          <w:szCs w:val="24"/>
        </w:rPr>
        <w:t xml:space="preserve"> whose financial information is</w:t>
      </w:r>
      <w:r w:rsidR="00417C40">
        <w:rPr>
          <w:rFonts w:ascii="Times New Roman" w:hAnsi="Times New Roman" w:cs="Times New Roman"/>
          <w:sz w:val="24"/>
          <w:szCs w:val="24"/>
        </w:rPr>
        <w:t xml:space="preserve"> included</w:t>
      </w:r>
      <w:r w:rsidR="00A5584A">
        <w:rPr>
          <w:rFonts w:ascii="Times New Roman" w:hAnsi="Times New Roman" w:cs="Times New Roman"/>
          <w:sz w:val="24"/>
          <w:szCs w:val="24"/>
        </w:rPr>
        <w:t xml:space="preserve"> </w:t>
      </w:r>
      <w:r w:rsidR="00417C40">
        <w:rPr>
          <w:rFonts w:ascii="Times New Roman" w:hAnsi="Times New Roman" w:cs="Times New Roman"/>
          <w:sz w:val="24"/>
          <w:szCs w:val="24"/>
        </w:rPr>
        <w:t xml:space="preserve">in the Annual </w:t>
      </w:r>
      <w:r w:rsidR="003B58F2">
        <w:rPr>
          <w:rFonts w:ascii="Times New Roman" w:hAnsi="Times New Roman" w:cs="Times New Roman"/>
          <w:sz w:val="24"/>
          <w:szCs w:val="24"/>
        </w:rPr>
        <w:t xml:space="preserve">Comprehensive </w:t>
      </w:r>
      <w:r w:rsidR="00417C40">
        <w:rPr>
          <w:rFonts w:ascii="Times New Roman" w:hAnsi="Times New Roman" w:cs="Times New Roman"/>
          <w:sz w:val="24"/>
          <w:szCs w:val="24"/>
        </w:rPr>
        <w:t>Financial Report of the State of Louisiana</w:t>
      </w:r>
      <w:r w:rsidR="005E35AD">
        <w:rPr>
          <w:rFonts w:ascii="Times New Roman" w:hAnsi="Times New Roman" w:cs="Times New Roman"/>
          <w:sz w:val="24"/>
          <w:szCs w:val="24"/>
        </w:rPr>
        <w:t xml:space="preserve"> </w:t>
      </w:r>
      <w:r w:rsidR="00417C40">
        <w:rPr>
          <w:rFonts w:ascii="Times New Roman" w:hAnsi="Times New Roman" w:cs="Times New Roman"/>
          <w:sz w:val="24"/>
          <w:szCs w:val="24"/>
        </w:rPr>
        <w:t xml:space="preserve">are exempt from the </w:t>
      </w:r>
      <w:r w:rsidR="00C77982">
        <w:rPr>
          <w:rFonts w:ascii="Times New Roman" w:hAnsi="Times New Roman" w:cs="Times New Roman"/>
          <w:sz w:val="24"/>
          <w:szCs w:val="24"/>
        </w:rPr>
        <w:t>AUPs</w:t>
      </w:r>
      <w:r w:rsidR="00417C40">
        <w:rPr>
          <w:rFonts w:ascii="Times New Roman" w:hAnsi="Times New Roman" w:cs="Times New Roman"/>
          <w:sz w:val="24"/>
          <w:szCs w:val="24"/>
        </w:rPr>
        <w:t xml:space="preserve"> below.</w:t>
      </w:r>
      <w:r w:rsidR="00133A56">
        <w:rPr>
          <w:rFonts w:ascii="Times New Roman" w:hAnsi="Times New Roman" w:cs="Times New Roman"/>
          <w:sz w:val="24"/>
          <w:szCs w:val="24"/>
        </w:rPr>
        <w:t xml:space="preserve">  Private and</w:t>
      </w:r>
      <w:r>
        <w:rPr>
          <w:rFonts w:ascii="Times New Roman" w:hAnsi="Times New Roman" w:cs="Times New Roman"/>
          <w:sz w:val="24"/>
          <w:szCs w:val="24"/>
        </w:rPr>
        <w:t xml:space="preserve"> parochial schools</w:t>
      </w:r>
      <w:r w:rsidR="003848DC">
        <w:rPr>
          <w:rFonts w:ascii="Times New Roman" w:hAnsi="Times New Roman" w:cs="Times New Roman"/>
          <w:sz w:val="24"/>
          <w:szCs w:val="24"/>
        </w:rPr>
        <w:t xml:space="preserve">, as well </w:t>
      </w:r>
      <w:r w:rsidR="003B58F2">
        <w:rPr>
          <w:rFonts w:ascii="Times New Roman" w:hAnsi="Times New Roman" w:cs="Times New Roman"/>
          <w:sz w:val="24"/>
          <w:szCs w:val="24"/>
        </w:rPr>
        <w:t xml:space="preserve">as </w:t>
      </w:r>
      <w:r w:rsidR="003848DC">
        <w:rPr>
          <w:rFonts w:ascii="Times New Roman" w:hAnsi="Times New Roman" w:cs="Times New Roman"/>
          <w:sz w:val="24"/>
          <w:szCs w:val="24"/>
        </w:rPr>
        <w:t>university foundations, facility corporations, and booster associations,</w:t>
      </w:r>
      <w:r>
        <w:rPr>
          <w:rFonts w:ascii="Times New Roman" w:hAnsi="Times New Roman" w:cs="Times New Roman"/>
          <w:sz w:val="24"/>
          <w:szCs w:val="24"/>
        </w:rPr>
        <w:t xml:space="preserve"> are specifically excluded</w:t>
      </w:r>
      <w:r w:rsidR="003848DC">
        <w:rPr>
          <w:rFonts w:ascii="Times New Roman" w:hAnsi="Times New Roman" w:cs="Times New Roman"/>
          <w:sz w:val="24"/>
          <w:szCs w:val="24"/>
        </w:rPr>
        <w:t xml:space="preserve"> by law</w:t>
      </w:r>
      <w:r>
        <w:rPr>
          <w:rFonts w:ascii="Times New Roman" w:hAnsi="Times New Roman" w:cs="Times New Roman"/>
          <w:sz w:val="24"/>
          <w:szCs w:val="24"/>
        </w:rPr>
        <w:t xml:space="preserve"> from having to provide audit reports to the LLA and </w:t>
      </w:r>
      <w:r w:rsidR="00A5584A">
        <w:rPr>
          <w:rFonts w:ascii="Times New Roman" w:hAnsi="Times New Roman" w:cs="Times New Roman"/>
          <w:sz w:val="24"/>
          <w:szCs w:val="24"/>
        </w:rPr>
        <w:t>are</w:t>
      </w:r>
      <w:r>
        <w:rPr>
          <w:rFonts w:ascii="Times New Roman" w:hAnsi="Times New Roman" w:cs="Times New Roman"/>
          <w:sz w:val="24"/>
          <w:szCs w:val="24"/>
        </w:rPr>
        <w:t xml:space="preserve"> exempt from the AU</w:t>
      </w:r>
      <w:r w:rsidR="007D036F">
        <w:rPr>
          <w:rFonts w:ascii="Times New Roman" w:hAnsi="Times New Roman" w:cs="Times New Roman"/>
          <w:sz w:val="24"/>
          <w:szCs w:val="24"/>
        </w:rPr>
        <w:t>Ps.</w:t>
      </w:r>
      <w:r w:rsidR="002313E5" w:rsidRPr="002313E5">
        <w:rPr>
          <w:rFonts w:ascii="Times New Roman" w:hAnsi="Times New Roman" w:cs="Times New Roman"/>
          <w:sz w:val="24"/>
          <w:szCs w:val="24"/>
        </w:rPr>
        <w:t xml:space="preserve"> </w:t>
      </w:r>
      <w:r w:rsidR="002313E5">
        <w:rPr>
          <w:rFonts w:ascii="Times New Roman" w:hAnsi="Times New Roman" w:cs="Times New Roman"/>
          <w:sz w:val="24"/>
          <w:szCs w:val="24"/>
        </w:rPr>
        <w:t xml:space="preserve"> Real estate for-profit limited partnership entities have been exempted from the AUPs based on the nature of their operations.</w:t>
      </w:r>
    </w:p>
    <w:p w14:paraId="5EBB8D95" w14:textId="4E56B616" w:rsidR="00CC33BD" w:rsidRDefault="00FE02E7" w:rsidP="00263767">
      <w:pPr>
        <w:jc w:val="both"/>
        <w:rPr>
          <w:rFonts w:ascii="Times New Roman" w:hAnsi="Times New Roman" w:cs="Times New Roman"/>
          <w:sz w:val="24"/>
          <w:szCs w:val="24"/>
        </w:rPr>
      </w:pPr>
      <w:r>
        <w:rPr>
          <w:rFonts w:ascii="Times New Roman" w:hAnsi="Times New Roman" w:cs="Times New Roman"/>
          <w:sz w:val="24"/>
          <w:szCs w:val="24"/>
        </w:rPr>
        <w:t>The scope of the AUPs applies to the primary reporting entity and is not required to be extended to discretely presented component units of the entity; however, e</w:t>
      </w:r>
      <w:r w:rsidR="003848DC">
        <w:rPr>
          <w:rFonts w:ascii="Times New Roman" w:hAnsi="Times New Roman" w:cs="Times New Roman"/>
          <w:sz w:val="24"/>
          <w:szCs w:val="24"/>
        </w:rPr>
        <w:t xml:space="preserve">ntities that are discrete component units of a larger government, </w:t>
      </w:r>
      <w:r w:rsidR="003848DC" w:rsidRPr="003848DC">
        <w:rPr>
          <w:rFonts w:ascii="Times New Roman" w:hAnsi="Times New Roman" w:cs="Times New Roman"/>
          <w:sz w:val="24"/>
          <w:szCs w:val="24"/>
          <w:u w:val="single"/>
        </w:rPr>
        <w:t>and</w:t>
      </w:r>
      <w:r w:rsidR="003848DC">
        <w:rPr>
          <w:rFonts w:ascii="Times New Roman" w:hAnsi="Times New Roman" w:cs="Times New Roman"/>
          <w:sz w:val="24"/>
          <w:szCs w:val="24"/>
        </w:rPr>
        <w:t xml:space="preserve"> separately report to the LLA, are </w:t>
      </w:r>
      <w:r>
        <w:rPr>
          <w:rFonts w:ascii="Times New Roman" w:hAnsi="Times New Roman" w:cs="Times New Roman"/>
          <w:sz w:val="24"/>
          <w:szCs w:val="24"/>
        </w:rPr>
        <w:t xml:space="preserve">individually </w:t>
      </w:r>
      <w:r w:rsidR="00360777">
        <w:rPr>
          <w:rFonts w:ascii="Times New Roman" w:hAnsi="Times New Roman" w:cs="Times New Roman"/>
          <w:sz w:val="24"/>
          <w:szCs w:val="24"/>
        </w:rPr>
        <w:t>subject to the AUPs.  Discrete component units that separately report to the LLA but have portions of their operations performed by the primary government (e.g.</w:t>
      </w:r>
      <w:r w:rsidR="00BD0A4B">
        <w:rPr>
          <w:rFonts w:ascii="Times New Roman" w:hAnsi="Times New Roman" w:cs="Times New Roman"/>
          <w:sz w:val="24"/>
          <w:szCs w:val="24"/>
        </w:rPr>
        <w:t>,</w:t>
      </w:r>
      <w:r w:rsidR="00360777">
        <w:rPr>
          <w:rFonts w:ascii="Times New Roman" w:hAnsi="Times New Roman" w:cs="Times New Roman"/>
          <w:sz w:val="24"/>
          <w:szCs w:val="24"/>
        </w:rPr>
        <w:t xml:space="preserve"> payroll processing) are exempt from those portions of the AUPs relating to the operations performed by the primary government; instead, AUPs performed at the primary government should address those areas (e.g.</w:t>
      </w:r>
      <w:r w:rsidR="00BD0A4B">
        <w:rPr>
          <w:rFonts w:ascii="Times New Roman" w:hAnsi="Times New Roman" w:cs="Times New Roman"/>
          <w:sz w:val="24"/>
          <w:szCs w:val="24"/>
        </w:rPr>
        <w:t>,</w:t>
      </w:r>
      <w:r w:rsidR="00360777">
        <w:rPr>
          <w:rFonts w:ascii="Times New Roman" w:hAnsi="Times New Roman" w:cs="Times New Roman"/>
          <w:sz w:val="24"/>
          <w:szCs w:val="24"/>
        </w:rPr>
        <w:t xml:space="preserve"> payroll processing) because the controls exist at the primary government.</w:t>
      </w:r>
    </w:p>
    <w:p w14:paraId="5C336B03" w14:textId="34B07EBB" w:rsidR="007D036F" w:rsidRDefault="00425BD7" w:rsidP="00263767">
      <w:pPr>
        <w:jc w:val="both"/>
        <w:rPr>
          <w:rFonts w:ascii="Times New Roman" w:hAnsi="Times New Roman" w:cs="Times New Roman"/>
          <w:sz w:val="24"/>
          <w:szCs w:val="24"/>
        </w:rPr>
      </w:pPr>
      <w:r>
        <w:rPr>
          <w:rFonts w:ascii="Times New Roman" w:hAnsi="Times New Roman" w:cs="Times New Roman"/>
          <w:sz w:val="24"/>
          <w:szCs w:val="24"/>
        </w:rPr>
        <w:t xml:space="preserve">All fiduciary </w:t>
      </w:r>
      <w:r w:rsidR="007D036F">
        <w:rPr>
          <w:rFonts w:ascii="Times New Roman" w:hAnsi="Times New Roman" w:cs="Times New Roman"/>
          <w:sz w:val="24"/>
          <w:szCs w:val="24"/>
        </w:rPr>
        <w:t xml:space="preserve">funds should be included within the scope of the AUPs, including </w:t>
      </w:r>
      <w:r w:rsidR="003B58F2">
        <w:rPr>
          <w:rFonts w:ascii="Times New Roman" w:hAnsi="Times New Roman" w:cs="Times New Roman"/>
          <w:sz w:val="24"/>
          <w:szCs w:val="24"/>
        </w:rPr>
        <w:t xml:space="preserve">custodial </w:t>
      </w:r>
      <w:r w:rsidR="007D036F">
        <w:rPr>
          <w:rFonts w:ascii="Times New Roman" w:hAnsi="Times New Roman" w:cs="Times New Roman"/>
          <w:sz w:val="24"/>
          <w:szCs w:val="24"/>
        </w:rPr>
        <w:t xml:space="preserve">funds administered by sheriffs or </w:t>
      </w:r>
      <w:r w:rsidR="00133A56">
        <w:rPr>
          <w:rFonts w:ascii="Times New Roman" w:hAnsi="Times New Roman" w:cs="Times New Roman"/>
          <w:sz w:val="24"/>
          <w:szCs w:val="24"/>
        </w:rPr>
        <w:t xml:space="preserve">other </w:t>
      </w:r>
      <w:r w:rsidR="007D036F">
        <w:rPr>
          <w:rFonts w:ascii="Times New Roman" w:hAnsi="Times New Roman" w:cs="Times New Roman"/>
          <w:sz w:val="24"/>
          <w:szCs w:val="24"/>
        </w:rPr>
        <w:t>tax collectors.</w:t>
      </w:r>
    </w:p>
    <w:p w14:paraId="3B9D42C8" w14:textId="77777777" w:rsidR="005A0DAC" w:rsidRDefault="005A0DAC" w:rsidP="00263767">
      <w:pPr>
        <w:jc w:val="both"/>
        <w:rPr>
          <w:rFonts w:ascii="Times New Roman" w:hAnsi="Times New Roman" w:cs="Times New Roman"/>
          <w:sz w:val="24"/>
          <w:szCs w:val="24"/>
        </w:rPr>
      </w:pPr>
      <w:r>
        <w:rPr>
          <w:rFonts w:ascii="Times New Roman" w:hAnsi="Times New Roman" w:cs="Times New Roman"/>
          <w:sz w:val="24"/>
          <w:szCs w:val="24"/>
        </w:rPr>
        <w:t>For quasi-public organizations</w:t>
      </w:r>
      <w:r w:rsidR="00A5584A">
        <w:rPr>
          <w:rFonts w:ascii="Times New Roman" w:hAnsi="Times New Roman" w:cs="Times New Roman"/>
          <w:sz w:val="24"/>
          <w:szCs w:val="24"/>
        </w:rPr>
        <w:t>, including non-profits</w:t>
      </w:r>
      <w:r>
        <w:rPr>
          <w:rFonts w:ascii="Times New Roman" w:hAnsi="Times New Roman" w:cs="Times New Roman"/>
          <w:sz w:val="24"/>
          <w:szCs w:val="24"/>
        </w:rPr>
        <w:t>, only those AUP areas applicable to public funds administered by the quasi-public organization are required to be included within the scope of the AUP engagement.</w:t>
      </w:r>
    </w:p>
    <w:p w14:paraId="1B17D3B1" w14:textId="55B9BED6" w:rsidR="005A0DAC" w:rsidRDefault="00AC28EE" w:rsidP="00263767">
      <w:pPr>
        <w:jc w:val="both"/>
        <w:rPr>
          <w:rFonts w:ascii="Times New Roman" w:hAnsi="Times New Roman" w:cs="Times New Roman"/>
          <w:sz w:val="24"/>
          <w:szCs w:val="24"/>
        </w:rPr>
      </w:pPr>
      <w:r>
        <w:rPr>
          <w:rFonts w:ascii="Times New Roman" w:hAnsi="Times New Roman" w:cs="Times New Roman"/>
          <w:sz w:val="24"/>
          <w:szCs w:val="24"/>
        </w:rPr>
        <w:t>School student activity fund accounts may be excluded from testing under the AUPs if they are otherwise addressed in a separate</w:t>
      </w:r>
      <w:r w:rsidR="004E6A3D">
        <w:rPr>
          <w:rFonts w:ascii="Times New Roman" w:hAnsi="Times New Roman" w:cs="Times New Roman"/>
          <w:sz w:val="24"/>
          <w:szCs w:val="24"/>
        </w:rPr>
        <w:t>ly contracted</w:t>
      </w:r>
      <w:r>
        <w:rPr>
          <w:rFonts w:ascii="Times New Roman" w:hAnsi="Times New Roman" w:cs="Times New Roman"/>
          <w:sz w:val="24"/>
          <w:szCs w:val="24"/>
        </w:rPr>
        <w:t xml:space="preserve"> audit or </w:t>
      </w:r>
      <w:r w:rsidR="004E6A3D">
        <w:rPr>
          <w:rFonts w:ascii="Times New Roman" w:hAnsi="Times New Roman" w:cs="Times New Roman"/>
          <w:sz w:val="24"/>
          <w:szCs w:val="24"/>
        </w:rPr>
        <w:t>agreed-upon procedures</w:t>
      </w:r>
      <w:r w:rsidR="00425BD7">
        <w:rPr>
          <w:rFonts w:ascii="Times New Roman" w:hAnsi="Times New Roman" w:cs="Times New Roman"/>
          <w:sz w:val="24"/>
          <w:szCs w:val="24"/>
        </w:rPr>
        <w:t xml:space="preserve"> </w:t>
      </w:r>
      <w:r>
        <w:rPr>
          <w:rFonts w:ascii="Times New Roman" w:hAnsi="Times New Roman" w:cs="Times New Roman"/>
          <w:sz w:val="24"/>
          <w:szCs w:val="24"/>
        </w:rPr>
        <w:t>engagement</w:t>
      </w:r>
      <w:r w:rsidR="00231F20">
        <w:rPr>
          <w:rFonts w:ascii="Times New Roman" w:hAnsi="Times New Roman" w:cs="Times New Roman"/>
          <w:sz w:val="24"/>
          <w:szCs w:val="24"/>
        </w:rPr>
        <w:t xml:space="preserve"> (does not have to include the same procedures as in the statewide agreed-upon procedures)</w:t>
      </w:r>
      <w:r>
        <w:rPr>
          <w:rFonts w:ascii="Times New Roman" w:hAnsi="Times New Roman" w:cs="Times New Roman"/>
          <w:sz w:val="24"/>
          <w:szCs w:val="24"/>
        </w:rPr>
        <w:t>.</w:t>
      </w:r>
      <w:r w:rsidR="004E6A3D">
        <w:rPr>
          <w:rFonts w:ascii="Times New Roman" w:hAnsi="Times New Roman" w:cs="Times New Roman"/>
          <w:sz w:val="24"/>
          <w:szCs w:val="24"/>
        </w:rPr>
        <w:t xml:space="preserve">  In this situation, the audit or agreed-upon procedures report is already required to be submitted to the LLA as </w:t>
      </w:r>
      <w:r w:rsidR="003B58F2">
        <w:rPr>
          <w:rFonts w:ascii="Times New Roman" w:hAnsi="Times New Roman" w:cs="Times New Roman"/>
          <w:sz w:val="24"/>
          <w:szCs w:val="24"/>
        </w:rPr>
        <w:t xml:space="preserve">a </w:t>
      </w:r>
      <w:r w:rsidR="004E6A3D">
        <w:rPr>
          <w:rFonts w:ascii="Times New Roman" w:hAnsi="Times New Roman" w:cs="Times New Roman"/>
          <w:sz w:val="24"/>
          <w:szCs w:val="24"/>
        </w:rPr>
        <w:t>separate engagement and does not need to be attached in the pdf file with the practitioner’s audit/AUP report.</w:t>
      </w:r>
    </w:p>
    <w:p w14:paraId="7C20E964" w14:textId="1428B746" w:rsidR="00600AFA" w:rsidRDefault="00600AFA" w:rsidP="00263767">
      <w:pPr>
        <w:jc w:val="both"/>
        <w:rPr>
          <w:rFonts w:ascii="Times New Roman" w:hAnsi="Times New Roman" w:cs="Times New Roman"/>
          <w:sz w:val="24"/>
          <w:szCs w:val="24"/>
        </w:rPr>
      </w:pPr>
      <w:r>
        <w:rPr>
          <w:rFonts w:ascii="Times New Roman" w:hAnsi="Times New Roman" w:cs="Times New Roman"/>
          <w:sz w:val="24"/>
          <w:szCs w:val="24"/>
        </w:rPr>
        <w:t xml:space="preserve">Please note that </w:t>
      </w:r>
      <w:r w:rsidR="0019247F">
        <w:rPr>
          <w:rFonts w:ascii="Times New Roman" w:hAnsi="Times New Roman" w:cs="Times New Roman"/>
          <w:sz w:val="24"/>
          <w:szCs w:val="24"/>
        </w:rPr>
        <w:t xml:space="preserve">the </w:t>
      </w:r>
      <w:r>
        <w:rPr>
          <w:rFonts w:ascii="Times New Roman" w:hAnsi="Times New Roman" w:cs="Times New Roman"/>
          <w:sz w:val="24"/>
          <w:szCs w:val="24"/>
        </w:rPr>
        <w:t xml:space="preserve">statewide AUPs </w:t>
      </w:r>
      <w:r w:rsidR="0019247F">
        <w:rPr>
          <w:rFonts w:ascii="Times New Roman" w:hAnsi="Times New Roman" w:cs="Times New Roman"/>
          <w:sz w:val="24"/>
          <w:szCs w:val="24"/>
        </w:rPr>
        <w:t xml:space="preserve">included in this document </w:t>
      </w:r>
      <w:r>
        <w:rPr>
          <w:rFonts w:ascii="Times New Roman" w:hAnsi="Times New Roman" w:cs="Times New Roman"/>
          <w:sz w:val="24"/>
          <w:szCs w:val="24"/>
        </w:rPr>
        <w:t xml:space="preserve">apply </w:t>
      </w:r>
      <w:r w:rsidR="00457DA8">
        <w:rPr>
          <w:rFonts w:ascii="Times New Roman" w:hAnsi="Times New Roman" w:cs="Times New Roman"/>
          <w:sz w:val="24"/>
          <w:szCs w:val="24"/>
        </w:rPr>
        <w:t xml:space="preserve">only </w:t>
      </w:r>
      <w:r>
        <w:rPr>
          <w:rFonts w:ascii="Times New Roman" w:hAnsi="Times New Roman" w:cs="Times New Roman"/>
          <w:sz w:val="24"/>
          <w:szCs w:val="24"/>
        </w:rPr>
        <w:t>to local governments and quasi-pub</w:t>
      </w:r>
      <w:r w:rsidR="0019247F">
        <w:rPr>
          <w:rFonts w:ascii="Times New Roman" w:hAnsi="Times New Roman" w:cs="Times New Roman"/>
          <w:sz w:val="24"/>
          <w:szCs w:val="24"/>
        </w:rPr>
        <w:t>lic entities that meet the requirement to have an audit under the Audit Law.  The LLA also</w:t>
      </w:r>
      <w:r>
        <w:rPr>
          <w:rFonts w:ascii="Times New Roman" w:hAnsi="Times New Roman" w:cs="Times New Roman"/>
          <w:sz w:val="24"/>
          <w:szCs w:val="24"/>
        </w:rPr>
        <w:t xml:space="preserve"> has </w:t>
      </w:r>
      <w:r w:rsidR="00637C46">
        <w:rPr>
          <w:rFonts w:ascii="Times New Roman" w:hAnsi="Times New Roman" w:cs="Times New Roman"/>
          <w:sz w:val="24"/>
          <w:szCs w:val="24"/>
        </w:rPr>
        <w:t>3</w:t>
      </w:r>
      <w:r>
        <w:rPr>
          <w:rFonts w:ascii="Times New Roman" w:hAnsi="Times New Roman" w:cs="Times New Roman"/>
          <w:sz w:val="24"/>
          <w:szCs w:val="24"/>
        </w:rPr>
        <w:t xml:space="preserve"> other types of agreed-upon procedures engagements</w:t>
      </w:r>
      <w:r w:rsidR="0019247F">
        <w:rPr>
          <w:rFonts w:ascii="Times New Roman" w:hAnsi="Times New Roman" w:cs="Times New Roman"/>
          <w:sz w:val="24"/>
          <w:szCs w:val="24"/>
        </w:rPr>
        <w:t xml:space="preserve"> that should not be confused with the statewide AUPs</w:t>
      </w:r>
      <w:r>
        <w:rPr>
          <w:rFonts w:ascii="Times New Roman" w:hAnsi="Times New Roman" w:cs="Times New Roman"/>
          <w:sz w:val="24"/>
          <w:szCs w:val="24"/>
        </w:rPr>
        <w:t>, a</w:t>
      </w:r>
      <w:bookmarkStart w:id="4" w:name="_GoBack"/>
      <w:bookmarkEnd w:id="4"/>
      <w:r>
        <w:rPr>
          <w:rFonts w:ascii="Times New Roman" w:hAnsi="Times New Roman" w:cs="Times New Roman"/>
          <w:sz w:val="24"/>
          <w:szCs w:val="24"/>
        </w:rPr>
        <w:t>s follows:</w:t>
      </w:r>
    </w:p>
    <w:p w14:paraId="15A69518" w14:textId="18BC7203" w:rsidR="00600AFA" w:rsidRDefault="00600AFA" w:rsidP="0019247F">
      <w:pPr>
        <w:pStyle w:val="ListParagraph"/>
        <w:numPr>
          <w:ilvl w:val="0"/>
          <w:numId w:val="41"/>
        </w:numPr>
        <w:spacing w:after="120"/>
        <w:contextualSpacing w:val="0"/>
        <w:jc w:val="both"/>
        <w:rPr>
          <w:szCs w:val="24"/>
        </w:rPr>
      </w:pPr>
      <w:r>
        <w:rPr>
          <w:szCs w:val="24"/>
        </w:rPr>
        <w:lastRenderedPageBreak/>
        <w:t>State entity (not “statewide”) agreed-upon procedures are required for certain engagements for entities that are included in the state’s A</w:t>
      </w:r>
      <w:r w:rsidR="00457DA8">
        <w:rPr>
          <w:szCs w:val="24"/>
        </w:rPr>
        <w:t>C</w:t>
      </w:r>
      <w:r>
        <w:rPr>
          <w:szCs w:val="24"/>
        </w:rPr>
        <w:t>FR.  These engagements are contracted directly by the LLA’s Financial Audit Services group and do not apply to local governments or quasi-public entities.</w:t>
      </w:r>
    </w:p>
    <w:p w14:paraId="32B2859F" w14:textId="106E9763" w:rsidR="0019247F" w:rsidRDefault="0019247F" w:rsidP="0019247F">
      <w:pPr>
        <w:pStyle w:val="ListParagraph"/>
        <w:numPr>
          <w:ilvl w:val="0"/>
          <w:numId w:val="41"/>
        </w:numPr>
        <w:spacing w:after="120"/>
        <w:contextualSpacing w:val="0"/>
        <w:jc w:val="both"/>
        <w:rPr>
          <w:szCs w:val="24"/>
        </w:rPr>
      </w:pPr>
      <w:r>
        <w:rPr>
          <w:szCs w:val="24"/>
        </w:rPr>
        <w:t xml:space="preserve">Review/Attest engagements include agreed-upon procedures for local governments and quasi-public entities that differ from the statewide AUPs and apply </w:t>
      </w:r>
      <w:r w:rsidR="00457DA8">
        <w:rPr>
          <w:szCs w:val="24"/>
        </w:rPr>
        <w:t xml:space="preserve">only </w:t>
      </w:r>
      <w:r>
        <w:rPr>
          <w:szCs w:val="24"/>
        </w:rPr>
        <w:t>to those entities that receive public funds between $200,000 and $500,000.</w:t>
      </w:r>
    </w:p>
    <w:p w14:paraId="3E830B7D" w14:textId="77777777" w:rsidR="0019247F" w:rsidRPr="00600AFA" w:rsidRDefault="0019247F" w:rsidP="0019247F">
      <w:pPr>
        <w:pStyle w:val="ListParagraph"/>
        <w:numPr>
          <w:ilvl w:val="0"/>
          <w:numId w:val="41"/>
        </w:numPr>
        <w:spacing w:after="120"/>
        <w:contextualSpacing w:val="0"/>
        <w:jc w:val="both"/>
        <w:rPr>
          <w:szCs w:val="24"/>
        </w:rPr>
      </w:pPr>
      <w:r>
        <w:rPr>
          <w:szCs w:val="24"/>
        </w:rPr>
        <w:t>Department of Education Performance Measures AUPs are required for school boards and charter schools.</w:t>
      </w:r>
    </w:p>
    <w:p w14:paraId="445C8FAE" w14:textId="251D55F2" w:rsidR="00600AFA" w:rsidRPr="0019247F" w:rsidRDefault="0019247F" w:rsidP="00600AFA">
      <w:pPr>
        <w:jc w:val="both"/>
        <w:rPr>
          <w:rFonts w:ascii="Times New Roman" w:hAnsi="Times New Roman" w:cs="Times New Roman"/>
          <w:sz w:val="24"/>
          <w:szCs w:val="24"/>
        </w:rPr>
      </w:pPr>
      <w:r>
        <w:rPr>
          <w:rFonts w:ascii="Times New Roman" w:hAnsi="Times New Roman" w:cs="Times New Roman"/>
          <w:sz w:val="24"/>
          <w:szCs w:val="24"/>
        </w:rPr>
        <w:t xml:space="preserve">More than </w:t>
      </w:r>
      <w:r w:rsidRPr="0019247F">
        <w:rPr>
          <w:rFonts w:ascii="Times New Roman" w:hAnsi="Times New Roman" w:cs="Times New Roman"/>
          <w:sz w:val="24"/>
          <w:szCs w:val="24"/>
        </w:rPr>
        <w:t xml:space="preserve">one set of </w:t>
      </w:r>
      <w:r w:rsidR="00874B9C">
        <w:rPr>
          <w:rFonts w:ascii="Times New Roman" w:hAnsi="Times New Roman" w:cs="Times New Roman"/>
          <w:sz w:val="24"/>
          <w:szCs w:val="24"/>
        </w:rPr>
        <w:t>agreed-upon procedures</w:t>
      </w:r>
      <w:r w:rsidRPr="0019247F">
        <w:rPr>
          <w:rFonts w:ascii="Times New Roman" w:hAnsi="Times New Roman" w:cs="Times New Roman"/>
          <w:sz w:val="24"/>
          <w:szCs w:val="24"/>
        </w:rPr>
        <w:t xml:space="preserve"> may be required, depending on whether each </w:t>
      </w:r>
      <w:r w:rsidR="00457DA8" w:rsidRPr="0019247F">
        <w:rPr>
          <w:rFonts w:ascii="Times New Roman" w:hAnsi="Times New Roman" w:cs="Times New Roman"/>
          <w:sz w:val="24"/>
          <w:szCs w:val="24"/>
        </w:rPr>
        <w:t>criterion</w:t>
      </w:r>
      <w:r w:rsidRPr="0019247F">
        <w:rPr>
          <w:rFonts w:ascii="Times New Roman" w:hAnsi="Times New Roman" w:cs="Times New Roman"/>
          <w:sz w:val="24"/>
          <w:szCs w:val="24"/>
        </w:rPr>
        <w:t xml:space="preserve"> above has been met.  For example, a parish school board with public funds of $500,000 or greater would be subject to both the statewide AUPs and the Department of Education Performance Measures AUPs.</w:t>
      </w:r>
    </w:p>
    <w:p w14:paraId="675F047B" w14:textId="77777777" w:rsidR="00773CBA" w:rsidRPr="00223C6C" w:rsidRDefault="00773CBA" w:rsidP="00263767">
      <w:pPr>
        <w:jc w:val="both"/>
        <w:rPr>
          <w:rFonts w:ascii="Times New Roman" w:hAnsi="Times New Roman" w:cs="Times New Roman"/>
          <w:b/>
          <w:i/>
          <w:sz w:val="24"/>
          <w:szCs w:val="24"/>
          <w:u w:val="single"/>
        </w:rPr>
      </w:pPr>
      <w:bookmarkStart w:id="5" w:name="_Hlk78797847"/>
      <w:r w:rsidRPr="00223C6C">
        <w:rPr>
          <w:rFonts w:ascii="Times New Roman" w:hAnsi="Times New Roman" w:cs="Times New Roman"/>
          <w:b/>
          <w:i/>
          <w:sz w:val="24"/>
          <w:szCs w:val="24"/>
          <w:u w:val="single"/>
        </w:rPr>
        <w:t>Options and Alternatives</w:t>
      </w:r>
    </w:p>
    <w:bookmarkEnd w:id="5"/>
    <w:p w14:paraId="433BC584" w14:textId="77777777" w:rsidR="00DC0947" w:rsidRDefault="00B03132" w:rsidP="0058696F">
      <w:pPr>
        <w:jc w:val="both"/>
        <w:rPr>
          <w:rFonts w:ascii="Times New Roman" w:hAnsi="Times New Roman" w:cs="Times New Roman"/>
          <w:sz w:val="24"/>
          <w:szCs w:val="24"/>
        </w:rPr>
      </w:pPr>
      <w:r>
        <w:rPr>
          <w:rFonts w:ascii="Times New Roman" w:hAnsi="Times New Roman" w:cs="Times New Roman"/>
          <w:sz w:val="24"/>
          <w:szCs w:val="24"/>
        </w:rPr>
        <w:t xml:space="preserve">The practitioner may avoid duplication of </w:t>
      </w:r>
      <w:r w:rsidR="00AE1DA2">
        <w:rPr>
          <w:rFonts w:ascii="Times New Roman" w:hAnsi="Times New Roman" w:cs="Times New Roman"/>
          <w:sz w:val="24"/>
          <w:szCs w:val="24"/>
        </w:rPr>
        <w:t>existing audit procedures</w:t>
      </w:r>
      <w:r>
        <w:rPr>
          <w:rFonts w:ascii="Times New Roman" w:hAnsi="Times New Roman" w:cs="Times New Roman"/>
          <w:sz w:val="24"/>
          <w:szCs w:val="24"/>
        </w:rPr>
        <w:t xml:space="preserve"> by using the same transactions for both audit and AUP purposes</w:t>
      </w:r>
      <w:r w:rsidR="00AE1DA2">
        <w:rPr>
          <w:rFonts w:ascii="Times New Roman" w:hAnsi="Times New Roman" w:cs="Times New Roman"/>
          <w:sz w:val="24"/>
          <w:szCs w:val="24"/>
        </w:rPr>
        <w:t xml:space="preserve">.  For example, if the </w:t>
      </w:r>
      <w:r w:rsidR="00023AF8">
        <w:rPr>
          <w:rFonts w:ascii="Times New Roman" w:hAnsi="Times New Roman" w:cs="Times New Roman"/>
          <w:sz w:val="24"/>
          <w:szCs w:val="24"/>
        </w:rPr>
        <w:t>AUP</w:t>
      </w:r>
      <w:r w:rsidR="00B162BA">
        <w:rPr>
          <w:rFonts w:ascii="Times New Roman" w:hAnsi="Times New Roman" w:cs="Times New Roman"/>
          <w:sz w:val="24"/>
          <w:szCs w:val="24"/>
        </w:rPr>
        <w:t>s indicate</w:t>
      </w:r>
      <w:r w:rsidR="00AE1DA2">
        <w:rPr>
          <w:rFonts w:ascii="Times New Roman" w:hAnsi="Times New Roman" w:cs="Times New Roman"/>
          <w:sz w:val="24"/>
          <w:szCs w:val="24"/>
        </w:rPr>
        <w:t xml:space="preserve"> that </w:t>
      </w:r>
      <w:r w:rsidR="00FE02E7">
        <w:rPr>
          <w:rFonts w:ascii="Times New Roman" w:hAnsi="Times New Roman" w:cs="Times New Roman"/>
          <w:sz w:val="24"/>
          <w:szCs w:val="24"/>
        </w:rPr>
        <w:t>10</w:t>
      </w:r>
      <w:r w:rsidR="00AE1DA2">
        <w:rPr>
          <w:rFonts w:ascii="Times New Roman" w:hAnsi="Times New Roman" w:cs="Times New Roman"/>
          <w:sz w:val="24"/>
          <w:szCs w:val="24"/>
        </w:rPr>
        <w:t xml:space="preserve"> random transactions should be selected and the practitioner would otherwise plan to test </w:t>
      </w:r>
      <w:r w:rsidR="00FE02E7">
        <w:rPr>
          <w:rFonts w:ascii="Times New Roman" w:hAnsi="Times New Roman" w:cs="Times New Roman"/>
          <w:sz w:val="24"/>
          <w:szCs w:val="24"/>
        </w:rPr>
        <w:t>25</w:t>
      </w:r>
      <w:r w:rsidR="00AE1DA2">
        <w:rPr>
          <w:rFonts w:ascii="Times New Roman" w:hAnsi="Times New Roman" w:cs="Times New Roman"/>
          <w:sz w:val="24"/>
          <w:szCs w:val="24"/>
        </w:rPr>
        <w:t xml:space="preserve"> random transactions as part of the entity’s audit, the practitioner may use </w:t>
      </w:r>
      <w:r w:rsidR="00B162BA">
        <w:rPr>
          <w:rFonts w:ascii="Times New Roman" w:hAnsi="Times New Roman" w:cs="Times New Roman"/>
          <w:sz w:val="24"/>
          <w:szCs w:val="24"/>
        </w:rPr>
        <w:t xml:space="preserve">the same </w:t>
      </w:r>
      <w:r w:rsidR="00FE02E7">
        <w:rPr>
          <w:rFonts w:ascii="Times New Roman" w:hAnsi="Times New Roman" w:cs="Times New Roman"/>
          <w:sz w:val="24"/>
          <w:szCs w:val="24"/>
        </w:rPr>
        <w:t>10</w:t>
      </w:r>
      <w:r w:rsidR="00AE1DA2">
        <w:rPr>
          <w:rFonts w:ascii="Times New Roman" w:hAnsi="Times New Roman" w:cs="Times New Roman"/>
          <w:sz w:val="24"/>
          <w:szCs w:val="24"/>
        </w:rPr>
        <w:t xml:space="preserve"> transactions for both the audit and the </w:t>
      </w:r>
      <w:r w:rsidR="00023AF8">
        <w:rPr>
          <w:rFonts w:ascii="Times New Roman" w:hAnsi="Times New Roman" w:cs="Times New Roman"/>
          <w:sz w:val="24"/>
          <w:szCs w:val="24"/>
        </w:rPr>
        <w:t>AUP</w:t>
      </w:r>
      <w:r w:rsidR="00AE1DA2">
        <w:rPr>
          <w:rFonts w:ascii="Times New Roman" w:hAnsi="Times New Roman" w:cs="Times New Roman"/>
          <w:sz w:val="24"/>
          <w:szCs w:val="24"/>
        </w:rPr>
        <w:t xml:space="preserve"> engagement.</w:t>
      </w:r>
    </w:p>
    <w:p w14:paraId="671522D5" w14:textId="01B1404F" w:rsidR="00A07895" w:rsidRDefault="00A07895" w:rsidP="0058696F">
      <w:pPr>
        <w:jc w:val="both"/>
        <w:rPr>
          <w:rFonts w:ascii="Times New Roman" w:hAnsi="Times New Roman" w:cs="Times New Roman"/>
          <w:sz w:val="24"/>
          <w:szCs w:val="24"/>
        </w:rPr>
      </w:pPr>
      <w:r>
        <w:rPr>
          <w:rFonts w:ascii="Times New Roman" w:hAnsi="Times New Roman" w:cs="Times New Roman"/>
          <w:sz w:val="24"/>
          <w:szCs w:val="24"/>
        </w:rPr>
        <w:t xml:space="preserve">If the entity </w:t>
      </w:r>
      <w:r w:rsidR="00165EA8">
        <w:rPr>
          <w:rFonts w:ascii="Times New Roman" w:hAnsi="Times New Roman" w:cs="Times New Roman"/>
          <w:sz w:val="24"/>
          <w:szCs w:val="24"/>
        </w:rPr>
        <w:t>employs</w:t>
      </w:r>
      <w:r>
        <w:rPr>
          <w:rFonts w:ascii="Times New Roman" w:hAnsi="Times New Roman" w:cs="Times New Roman"/>
          <w:sz w:val="24"/>
          <w:szCs w:val="24"/>
        </w:rPr>
        <w:t xml:space="preserve"> one or more internal auditors</w:t>
      </w:r>
      <w:r w:rsidR="007F0E74">
        <w:rPr>
          <w:rFonts w:ascii="Times New Roman" w:hAnsi="Times New Roman" w:cs="Times New Roman"/>
          <w:sz w:val="24"/>
          <w:szCs w:val="24"/>
        </w:rPr>
        <w:t>,</w:t>
      </w:r>
      <w:r>
        <w:rPr>
          <w:rFonts w:ascii="Times New Roman" w:hAnsi="Times New Roman" w:cs="Times New Roman"/>
          <w:sz w:val="24"/>
          <w:szCs w:val="24"/>
        </w:rPr>
        <w:t xml:space="preserve"> the practitioner documents reliance upon the internal audi</w:t>
      </w:r>
      <w:r w:rsidR="005F5CFD">
        <w:rPr>
          <w:rFonts w:ascii="Times New Roman" w:hAnsi="Times New Roman" w:cs="Times New Roman"/>
          <w:sz w:val="24"/>
          <w:szCs w:val="24"/>
        </w:rPr>
        <w:t xml:space="preserve">t function as part of the </w:t>
      </w:r>
      <w:r w:rsidR="00EC017C">
        <w:rPr>
          <w:rFonts w:ascii="Times New Roman" w:hAnsi="Times New Roman" w:cs="Times New Roman"/>
          <w:sz w:val="24"/>
          <w:szCs w:val="24"/>
        </w:rPr>
        <w:t xml:space="preserve">entity’s </w:t>
      </w:r>
      <w:r w:rsidR="005F5CFD">
        <w:rPr>
          <w:rFonts w:ascii="Times New Roman" w:hAnsi="Times New Roman" w:cs="Times New Roman"/>
          <w:sz w:val="24"/>
          <w:szCs w:val="24"/>
        </w:rPr>
        <w:t>audit</w:t>
      </w:r>
      <w:r w:rsidR="007F0E74">
        <w:rPr>
          <w:rFonts w:ascii="Times New Roman" w:hAnsi="Times New Roman" w:cs="Times New Roman"/>
          <w:sz w:val="24"/>
          <w:szCs w:val="24"/>
        </w:rPr>
        <w:t>,</w:t>
      </w:r>
      <w:r>
        <w:rPr>
          <w:rFonts w:ascii="Times New Roman" w:hAnsi="Times New Roman" w:cs="Times New Roman"/>
          <w:sz w:val="24"/>
          <w:szCs w:val="24"/>
        </w:rPr>
        <w:t xml:space="preserve"> and the internal auditor performs one or more of the specific </w:t>
      </w:r>
      <w:r w:rsidR="00EC017C">
        <w:rPr>
          <w:rFonts w:ascii="Times New Roman" w:hAnsi="Times New Roman" w:cs="Times New Roman"/>
          <w:sz w:val="24"/>
          <w:szCs w:val="24"/>
        </w:rPr>
        <w:t>procedures identified</w:t>
      </w:r>
      <w:r>
        <w:rPr>
          <w:rFonts w:ascii="Times New Roman" w:hAnsi="Times New Roman" w:cs="Times New Roman"/>
          <w:sz w:val="24"/>
          <w:szCs w:val="24"/>
        </w:rPr>
        <w:t xml:space="preserve"> </w:t>
      </w:r>
      <w:r w:rsidR="004E6A3D">
        <w:rPr>
          <w:rFonts w:ascii="Times New Roman" w:hAnsi="Times New Roman" w:cs="Times New Roman"/>
          <w:sz w:val="24"/>
          <w:szCs w:val="24"/>
        </w:rPr>
        <w:t>for the same fiscal period</w:t>
      </w:r>
      <w:r w:rsidR="007D19F6">
        <w:rPr>
          <w:rFonts w:ascii="Times New Roman" w:hAnsi="Times New Roman" w:cs="Times New Roman"/>
          <w:sz w:val="24"/>
          <w:szCs w:val="24"/>
        </w:rPr>
        <w:t xml:space="preserve"> (</w:t>
      </w:r>
      <w:r w:rsidR="00EC017C">
        <w:rPr>
          <w:rFonts w:ascii="Times New Roman" w:hAnsi="Times New Roman" w:cs="Times New Roman"/>
          <w:sz w:val="24"/>
          <w:szCs w:val="24"/>
        </w:rPr>
        <w:t xml:space="preserve">internal auditor is </w:t>
      </w:r>
      <w:r w:rsidR="007D19F6">
        <w:rPr>
          <w:rFonts w:ascii="Times New Roman" w:hAnsi="Times New Roman" w:cs="Times New Roman"/>
          <w:sz w:val="24"/>
          <w:szCs w:val="24"/>
        </w:rPr>
        <w:t xml:space="preserve">not required to perform </w:t>
      </w:r>
      <w:r w:rsidR="00EC017C">
        <w:rPr>
          <w:rFonts w:ascii="Times New Roman" w:hAnsi="Times New Roman" w:cs="Times New Roman"/>
          <w:sz w:val="24"/>
          <w:szCs w:val="24"/>
        </w:rPr>
        <w:t xml:space="preserve">procedures </w:t>
      </w:r>
      <w:r w:rsidR="007D19F6">
        <w:rPr>
          <w:rFonts w:ascii="Times New Roman" w:hAnsi="Times New Roman" w:cs="Times New Roman"/>
          <w:sz w:val="24"/>
          <w:szCs w:val="24"/>
        </w:rPr>
        <w:t>under the attest standards)</w:t>
      </w:r>
      <w:r w:rsidR="007F0E74">
        <w:rPr>
          <w:rFonts w:ascii="Times New Roman" w:hAnsi="Times New Roman" w:cs="Times New Roman"/>
          <w:sz w:val="24"/>
          <w:szCs w:val="24"/>
        </w:rPr>
        <w:t>, then</w:t>
      </w:r>
      <w:r>
        <w:rPr>
          <w:rFonts w:ascii="Times New Roman" w:hAnsi="Times New Roman" w:cs="Times New Roman"/>
          <w:sz w:val="24"/>
          <w:szCs w:val="24"/>
        </w:rPr>
        <w:t xml:space="preserve"> the practitioner</w:t>
      </w:r>
      <w:r w:rsidR="00FF27A0">
        <w:rPr>
          <w:rFonts w:ascii="Times New Roman" w:hAnsi="Times New Roman" w:cs="Times New Roman"/>
          <w:sz w:val="24"/>
          <w:szCs w:val="24"/>
        </w:rPr>
        <w:t xml:space="preserve"> does not have to </w:t>
      </w:r>
      <w:r w:rsidR="007D19F6">
        <w:rPr>
          <w:rFonts w:ascii="Times New Roman" w:hAnsi="Times New Roman" w:cs="Times New Roman"/>
          <w:sz w:val="24"/>
          <w:szCs w:val="24"/>
        </w:rPr>
        <w:t>include</w:t>
      </w:r>
      <w:r w:rsidR="00FF27A0">
        <w:rPr>
          <w:rFonts w:ascii="Times New Roman" w:hAnsi="Times New Roman" w:cs="Times New Roman"/>
          <w:sz w:val="24"/>
          <w:szCs w:val="24"/>
        </w:rPr>
        <w:t xml:space="preserve"> those </w:t>
      </w:r>
      <w:r w:rsidR="007D19F6">
        <w:rPr>
          <w:rFonts w:ascii="Times New Roman" w:hAnsi="Times New Roman" w:cs="Times New Roman"/>
          <w:sz w:val="24"/>
          <w:szCs w:val="24"/>
        </w:rPr>
        <w:t xml:space="preserve">specific </w:t>
      </w:r>
      <w:r w:rsidR="00EC017C">
        <w:rPr>
          <w:rFonts w:ascii="Times New Roman" w:hAnsi="Times New Roman" w:cs="Times New Roman"/>
          <w:sz w:val="24"/>
          <w:szCs w:val="24"/>
        </w:rPr>
        <w:t>procedures</w:t>
      </w:r>
      <w:r w:rsidR="00FF27A0">
        <w:rPr>
          <w:rFonts w:ascii="Times New Roman" w:hAnsi="Times New Roman" w:cs="Times New Roman"/>
          <w:sz w:val="24"/>
          <w:szCs w:val="24"/>
        </w:rPr>
        <w:t xml:space="preserve"> as part of the </w:t>
      </w:r>
      <w:r w:rsidR="007D19F6">
        <w:rPr>
          <w:rFonts w:ascii="Times New Roman" w:hAnsi="Times New Roman" w:cs="Times New Roman"/>
          <w:sz w:val="24"/>
          <w:szCs w:val="24"/>
        </w:rPr>
        <w:t xml:space="preserve">scope of the </w:t>
      </w:r>
      <w:r w:rsidR="00023AF8">
        <w:rPr>
          <w:rFonts w:ascii="Times New Roman" w:hAnsi="Times New Roman" w:cs="Times New Roman"/>
          <w:sz w:val="24"/>
          <w:szCs w:val="24"/>
        </w:rPr>
        <w:t>AUP</w:t>
      </w:r>
      <w:r w:rsidR="00FD4509">
        <w:rPr>
          <w:rFonts w:ascii="Times New Roman" w:hAnsi="Times New Roman" w:cs="Times New Roman"/>
          <w:sz w:val="24"/>
          <w:szCs w:val="24"/>
        </w:rPr>
        <w:t xml:space="preserve"> engagement</w:t>
      </w:r>
      <w:r w:rsidR="007D19F6">
        <w:rPr>
          <w:rFonts w:ascii="Times New Roman" w:hAnsi="Times New Roman" w:cs="Times New Roman"/>
          <w:sz w:val="24"/>
          <w:szCs w:val="24"/>
        </w:rPr>
        <w:t xml:space="preserve"> or in</w:t>
      </w:r>
      <w:r w:rsidR="00B162BA">
        <w:rPr>
          <w:rFonts w:ascii="Times New Roman" w:hAnsi="Times New Roman" w:cs="Times New Roman"/>
          <w:sz w:val="24"/>
          <w:szCs w:val="24"/>
        </w:rPr>
        <w:t xml:space="preserve">clude </w:t>
      </w:r>
      <w:r w:rsidR="007F0E74">
        <w:rPr>
          <w:rFonts w:ascii="Times New Roman" w:hAnsi="Times New Roman" w:cs="Times New Roman"/>
          <w:sz w:val="24"/>
          <w:szCs w:val="24"/>
        </w:rPr>
        <w:t xml:space="preserve">those specific procedures </w:t>
      </w:r>
      <w:r w:rsidR="00B162BA">
        <w:rPr>
          <w:rFonts w:ascii="Times New Roman" w:hAnsi="Times New Roman" w:cs="Times New Roman"/>
          <w:sz w:val="24"/>
          <w:szCs w:val="24"/>
        </w:rPr>
        <w:t>in</w:t>
      </w:r>
      <w:r w:rsidR="007D19F6">
        <w:rPr>
          <w:rFonts w:ascii="Times New Roman" w:hAnsi="Times New Roman" w:cs="Times New Roman"/>
          <w:sz w:val="24"/>
          <w:szCs w:val="24"/>
        </w:rPr>
        <w:t xml:space="preserve"> the AUP report</w:t>
      </w:r>
      <w:r w:rsidR="00FF27A0">
        <w:rPr>
          <w:rFonts w:ascii="Times New Roman" w:hAnsi="Times New Roman" w:cs="Times New Roman"/>
          <w:sz w:val="24"/>
          <w:szCs w:val="24"/>
        </w:rPr>
        <w:t xml:space="preserve">.  In that situation, the practitioner should perform the remaining </w:t>
      </w:r>
      <w:r w:rsidR="00023AF8">
        <w:rPr>
          <w:rFonts w:ascii="Times New Roman" w:hAnsi="Times New Roman" w:cs="Times New Roman"/>
          <w:sz w:val="24"/>
          <w:szCs w:val="24"/>
        </w:rPr>
        <w:t>AUPs</w:t>
      </w:r>
      <w:r w:rsidR="00FD4509">
        <w:rPr>
          <w:rFonts w:ascii="Times New Roman" w:hAnsi="Times New Roman" w:cs="Times New Roman"/>
          <w:sz w:val="24"/>
          <w:szCs w:val="24"/>
        </w:rPr>
        <w:t xml:space="preserve"> under the attest standards</w:t>
      </w:r>
      <w:r w:rsidR="00FF27A0">
        <w:rPr>
          <w:rFonts w:ascii="Times New Roman" w:hAnsi="Times New Roman" w:cs="Times New Roman"/>
          <w:sz w:val="24"/>
          <w:szCs w:val="24"/>
        </w:rPr>
        <w:t xml:space="preserve"> and document in the </w:t>
      </w:r>
      <w:r w:rsidR="00023AF8">
        <w:rPr>
          <w:rFonts w:ascii="Times New Roman" w:hAnsi="Times New Roman" w:cs="Times New Roman"/>
          <w:sz w:val="24"/>
          <w:szCs w:val="24"/>
        </w:rPr>
        <w:t>AUP</w:t>
      </w:r>
      <w:r w:rsidR="00FF27A0">
        <w:rPr>
          <w:rFonts w:ascii="Times New Roman" w:hAnsi="Times New Roman" w:cs="Times New Roman"/>
          <w:sz w:val="24"/>
          <w:szCs w:val="24"/>
        </w:rPr>
        <w:t xml:space="preserve"> report</w:t>
      </w:r>
      <w:r w:rsidR="00222B99">
        <w:rPr>
          <w:rFonts w:ascii="Times New Roman" w:hAnsi="Times New Roman" w:cs="Times New Roman"/>
          <w:sz w:val="24"/>
          <w:szCs w:val="24"/>
        </w:rPr>
        <w:t>,</w:t>
      </w:r>
      <w:r w:rsidR="004E6A3D">
        <w:rPr>
          <w:rFonts w:ascii="Times New Roman" w:hAnsi="Times New Roman" w:cs="Times New Roman"/>
          <w:sz w:val="24"/>
          <w:szCs w:val="24"/>
        </w:rPr>
        <w:t xml:space="preserve"> but should not include or reference the internal auditor’s report(s) in the practitioner’s AUP report</w:t>
      </w:r>
      <w:r w:rsidR="00FF27A0">
        <w:rPr>
          <w:rFonts w:ascii="Times New Roman" w:hAnsi="Times New Roman" w:cs="Times New Roman"/>
          <w:sz w:val="24"/>
          <w:szCs w:val="24"/>
        </w:rPr>
        <w:t xml:space="preserve">.  </w:t>
      </w:r>
      <w:r w:rsidR="007D19F6">
        <w:rPr>
          <w:rFonts w:ascii="Times New Roman" w:hAnsi="Times New Roman" w:cs="Times New Roman"/>
          <w:sz w:val="24"/>
          <w:szCs w:val="24"/>
        </w:rPr>
        <w:t xml:space="preserve">The practitioner must include a copy </w:t>
      </w:r>
      <w:r w:rsidR="004E6A3D">
        <w:rPr>
          <w:rFonts w:ascii="Times New Roman" w:hAnsi="Times New Roman" w:cs="Times New Roman"/>
          <w:sz w:val="24"/>
          <w:szCs w:val="24"/>
        </w:rPr>
        <w:t xml:space="preserve">(or copies if the internal auditor has multiple reports that address AUP procedures) </w:t>
      </w:r>
      <w:r w:rsidR="007D19F6">
        <w:rPr>
          <w:rFonts w:ascii="Times New Roman" w:hAnsi="Times New Roman" w:cs="Times New Roman"/>
          <w:sz w:val="24"/>
          <w:szCs w:val="24"/>
        </w:rPr>
        <w:t>of the internal auditor’s procedures performed and exceptions noted when submitting the audit report and AUP report to the LLA.</w:t>
      </w:r>
      <w:r w:rsidR="001F332F">
        <w:rPr>
          <w:rFonts w:ascii="Times New Roman" w:hAnsi="Times New Roman" w:cs="Times New Roman"/>
          <w:sz w:val="24"/>
          <w:szCs w:val="24"/>
        </w:rPr>
        <w:t xml:space="preserve">  In this situation, all three reports should be submitted to the LLA as one Adobe pdf file</w:t>
      </w:r>
      <w:r w:rsidR="00B942FD">
        <w:rPr>
          <w:rFonts w:ascii="Times New Roman" w:hAnsi="Times New Roman" w:cs="Times New Roman"/>
          <w:sz w:val="24"/>
          <w:szCs w:val="24"/>
        </w:rPr>
        <w:t>, and all three reports will be issued by the LLA</w:t>
      </w:r>
      <w:r w:rsidR="00794E7D">
        <w:rPr>
          <w:rFonts w:ascii="Times New Roman" w:hAnsi="Times New Roman" w:cs="Times New Roman"/>
          <w:sz w:val="24"/>
          <w:szCs w:val="24"/>
        </w:rPr>
        <w:t xml:space="preserve"> as public documents</w:t>
      </w:r>
      <w:r w:rsidR="001F332F">
        <w:rPr>
          <w:rFonts w:ascii="Times New Roman" w:hAnsi="Times New Roman" w:cs="Times New Roman"/>
          <w:sz w:val="24"/>
          <w:szCs w:val="24"/>
        </w:rPr>
        <w:t>.</w:t>
      </w:r>
    </w:p>
    <w:p w14:paraId="30E622F7" w14:textId="050DB2BF" w:rsidR="00443A3A" w:rsidRDefault="00443A3A" w:rsidP="0058696F">
      <w:pPr>
        <w:jc w:val="both"/>
        <w:rPr>
          <w:rFonts w:ascii="Times New Roman" w:hAnsi="Times New Roman" w:cs="Times New Roman"/>
          <w:sz w:val="24"/>
          <w:szCs w:val="24"/>
        </w:rPr>
      </w:pPr>
      <w:r>
        <w:rPr>
          <w:rFonts w:ascii="Times New Roman" w:hAnsi="Times New Roman" w:cs="Times New Roman"/>
          <w:sz w:val="24"/>
          <w:szCs w:val="24"/>
        </w:rPr>
        <w:t xml:space="preserve">To avoid creating an undue burden on practitioners, the </w:t>
      </w:r>
      <w:r w:rsidR="002269AC">
        <w:rPr>
          <w:rFonts w:ascii="Times New Roman" w:hAnsi="Times New Roman" w:cs="Times New Roman"/>
          <w:sz w:val="24"/>
          <w:szCs w:val="24"/>
        </w:rPr>
        <w:t xml:space="preserve">AUPs </w:t>
      </w:r>
      <w:r>
        <w:rPr>
          <w:rFonts w:ascii="Times New Roman" w:hAnsi="Times New Roman" w:cs="Times New Roman"/>
          <w:sz w:val="24"/>
          <w:szCs w:val="24"/>
        </w:rPr>
        <w:t xml:space="preserve">may be performed for a 12-month </w:t>
      </w:r>
      <w:r w:rsidR="00EC017C">
        <w:rPr>
          <w:rFonts w:ascii="Times New Roman" w:hAnsi="Times New Roman" w:cs="Times New Roman"/>
          <w:sz w:val="24"/>
          <w:szCs w:val="24"/>
        </w:rPr>
        <w:t xml:space="preserve">“fiscal </w:t>
      </w:r>
      <w:r>
        <w:rPr>
          <w:rFonts w:ascii="Times New Roman" w:hAnsi="Times New Roman" w:cs="Times New Roman"/>
          <w:sz w:val="24"/>
          <w:szCs w:val="24"/>
        </w:rPr>
        <w:t>period</w:t>
      </w:r>
      <w:r w:rsidR="00373282">
        <w:rPr>
          <w:rFonts w:ascii="Times New Roman" w:hAnsi="Times New Roman" w:cs="Times New Roman"/>
          <w:sz w:val="24"/>
          <w:szCs w:val="24"/>
        </w:rPr>
        <w:t>”</w:t>
      </w:r>
      <w:r>
        <w:rPr>
          <w:rFonts w:ascii="Times New Roman" w:hAnsi="Times New Roman" w:cs="Times New Roman"/>
          <w:sz w:val="24"/>
          <w:szCs w:val="24"/>
        </w:rPr>
        <w:t xml:space="preserve"> that does not coincide with the entity’s fiscal year, as long as the 12-month </w:t>
      </w:r>
      <w:r w:rsidR="006662ED">
        <w:rPr>
          <w:rFonts w:ascii="Times New Roman" w:hAnsi="Times New Roman" w:cs="Times New Roman"/>
          <w:sz w:val="24"/>
          <w:szCs w:val="24"/>
        </w:rPr>
        <w:t xml:space="preserve">fiscal </w:t>
      </w:r>
      <w:r>
        <w:rPr>
          <w:rFonts w:ascii="Times New Roman" w:hAnsi="Times New Roman" w:cs="Times New Roman"/>
          <w:sz w:val="24"/>
          <w:szCs w:val="24"/>
        </w:rPr>
        <w:t xml:space="preserve">period is no more than 3 months prior to the end of the entity’s fiscal year.  For example, the practitioner may perform </w:t>
      </w:r>
      <w:r w:rsidR="005F5CFD">
        <w:rPr>
          <w:rFonts w:ascii="Times New Roman" w:hAnsi="Times New Roman" w:cs="Times New Roman"/>
          <w:sz w:val="24"/>
          <w:szCs w:val="24"/>
        </w:rPr>
        <w:t>AUPs</w:t>
      </w:r>
      <w:r>
        <w:rPr>
          <w:rFonts w:ascii="Times New Roman" w:hAnsi="Times New Roman" w:cs="Times New Roman"/>
          <w:sz w:val="24"/>
          <w:szCs w:val="24"/>
        </w:rPr>
        <w:t xml:space="preserve"> for the </w:t>
      </w:r>
      <w:r w:rsidR="00EC017C">
        <w:rPr>
          <w:rFonts w:ascii="Times New Roman" w:hAnsi="Times New Roman" w:cs="Times New Roman"/>
          <w:sz w:val="24"/>
          <w:szCs w:val="24"/>
        </w:rPr>
        <w:t xml:space="preserve">fiscal </w:t>
      </w:r>
      <w:r>
        <w:rPr>
          <w:rFonts w:ascii="Times New Roman" w:hAnsi="Times New Roman" w:cs="Times New Roman"/>
          <w:sz w:val="24"/>
          <w:szCs w:val="24"/>
        </w:rPr>
        <w:t xml:space="preserve">period </w:t>
      </w:r>
      <w:r w:rsidR="007D19F6">
        <w:rPr>
          <w:rFonts w:ascii="Times New Roman" w:hAnsi="Times New Roman" w:cs="Times New Roman"/>
          <w:sz w:val="24"/>
          <w:szCs w:val="24"/>
        </w:rPr>
        <w:t>April</w:t>
      </w:r>
      <w:r>
        <w:rPr>
          <w:rFonts w:ascii="Times New Roman" w:hAnsi="Times New Roman" w:cs="Times New Roman"/>
          <w:sz w:val="24"/>
          <w:szCs w:val="24"/>
        </w:rPr>
        <w:t xml:space="preserve"> 1, </w:t>
      </w:r>
      <w:r w:rsidR="00DF6B08">
        <w:rPr>
          <w:rFonts w:ascii="Times New Roman" w:hAnsi="Times New Roman" w:cs="Times New Roman"/>
          <w:sz w:val="24"/>
          <w:szCs w:val="24"/>
        </w:rPr>
        <w:t xml:space="preserve">2021 </w:t>
      </w:r>
      <w:r>
        <w:rPr>
          <w:rFonts w:ascii="Times New Roman" w:hAnsi="Times New Roman" w:cs="Times New Roman"/>
          <w:sz w:val="24"/>
          <w:szCs w:val="24"/>
        </w:rPr>
        <w:t xml:space="preserve">through </w:t>
      </w:r>
      <w:r w:rsidR="007D19F6">
        <w:rPr>
          <w:rFonts w:ascii="Times New Roman" w:hAnsi="Times New Roman" w:cs="Times New Roman"/>
          <w:sz w:val="24"/>
          <w:szCs w:val="24"/>
        </w:rPr>
        <w:t xml:space="preserve">March 31, </w:t>
      </w:r>
      <w:r w:rsidR="00DF6B08">
        <w:rPr>
          <w:rFonts w:ascii="Times New Roman" w:hAnsi="Times New Roman" w:cs="Times New Roman"/>
          <w:sz w:val="24"/>
          <w:szCs w:val="24"/>
        </w:rPr>
        <w:t xml:space="preserve">2022 </w:t>
      </w:r>
      <w:r>
        <w:rPr>
          <w:rFonts w:ascii="Times New Roman" w:hAnsi="Times New Roman" w:cs="Times New Roman"/>
          <w:sz w:val="24"/>
          <w:szCs w:val="24"/>
        </w:rPr>
        <w:t xml:space="preserve">for an </w:t>
      </w:r>
      <w:r>
        <w:rPr>
          <w:rFonts w:ascii="Times New Roman" w:hAnsi="Times New Roman" w:cs="Times New Roman"/>
          <w:sz w:val="24"/>
          <w:szCs w:val="24"/>
        </w:rPr>
        <w:lastRenderedPageBreak/>
        <w:t xml:space="preserve">entity with a fiscal year ending </w:t>
      </w:r>
      <w:r w:rsidR="007F0E74">
        <w:rPr>
          <w:rFonts w:ascii="Times New Roman" w:hAnsi="Times New Roman" w:cs="Times New Roman"/>
          <w:sz w:val="24"/>
          <w:szCs w:val="24"/>
        </w:rPr>
        <w:t>June 30</w:t>
      </w:r>
      <w:r>
        <w:rPr>
          <w:rFonts w:ascii="Times New Roman" w:hAnsi="Times New Roman" w:cs="Times New Roman"/>
          <w:sz w:val="24"/>
          <w:szCs w:val="24"/>
        </w:rPr>
        <w:t xml:space="preserve">, </w:t>
      </w:r>
      <w:r w:rsidR="00DF6B08">
        <w:rPr>
          <w:rFonts w:ascii="Times New Roman" w:hAnsi="Times New Roman" w:cs="Times New Roman"/>
          <w:sz w:val="24"/>
          <w:szCs w:val="24"/>
        </w:rPr>
        <w:t>2022</w:t>
      </w:r>
      <w:r>
        <w:rPr>
          <w:rFonts w:ascii="Times New Roman" w:hAnsi="Times New Roman" w:cs="Times New Roman"/>
          <w:sz w:val="24"/>
          <w:szCs w:val="24"/>
        </w:rPr>
        <w:t>.</w:t>
      </w:r>
      <w:r w:rsidR="006662ED">
        <w:rPr>
          <w:rFonts w:ascii="Times New Roman" w:hAnsi="Times New Roman" w:cs="Times New Roman"/>
          <w:sz w:val="24"/>
          <w:szCs w:val="24"/>
        </w:rPr>
        <w:t xml:space="preserve">  All AUPs will reference </w:t>
      </w:r>
      <w:r w:rsidR="00560FB5">
        <w:rPr>
          <w:rFonts w:ascii="Times New Roman" w:hAnsi="Times New Roman" w:cs="Times New Roman"/>
          <w:sz w:val="24"/>
          <w:szCs w:val="24"/>
        </w:rPr>
        <w:t>“</w:t>
      </w:r>
      <w:r w:rsidR="006662ED">
        <w:rPr>
          <w:rFonts w:ascii="Times New Roman" w:hAnsi="Times New Roman" w:cs="Times New Roman"/>
          <w:sz w:val="24"/>
          <w:szCs w:val="24"/>
        </w:rPr>
        <w:t>fiscal period</w:t>
      </w:r>
      <w:r w:rsidR="00560FB5">
        <w:rPr>
          <w:rFonts w:ascii="Times New Roman" w:hAnsi="Times New Roman" w:cs="Times New Roman"/>
          <w:sz w:val="24"/>
          <w:szCs w:val="24"/>
        </w:rPr>
        <w:t>”</w:t>
      </w:r>
      <w:r w:rsidR="006662ED">
        <w:rPr>
          <w:rFonts w:ascii="Times New Roman" w:hAnsi="Times New Roman" w:cs="Times New Roman"/>
          <w:sz w:val="24"/>
          <w:szCs w:val="24"/>
        </w:rPr>
        <w:t xml:space="preserve"> to mean the 12-months covered by the AUPs.</w:t>
      </w:r>
      <w:r w:rsidR="00F04512">
        <w:rPr>
          <w:rFonts w:ascii="Times New Roman" w:hAnsi="Times New Roman" w:cs="Times New Roman"/>
          <w:sz w:val="24"/>
          <w:szCs w:val="24"/>
        </w:rPr>
        <w:t xml:space="preserve">  If the entity elects to change its “fiscal period,” the subsequent year of AUP testing must not leave a gap between fiscal periods.  For example, a change from a March 31 fiscal period end to a June 30 fiscal period end would re</w:t>
      </w:r>
      <w:r w:rsidR="00D065A7">
        <w:rPr>
          <w:rFonts w:ascii="Times New Roman" w:hAnsi="Times New Roman" w:cs="Times New Roman"/>
          <w:sz w:val="24"/>
          <w:szCs w:val="24"/>
        </w:rPr>
        <w:t>quire</w:t>
      </w:r>
      <w:r w:rsidR="00F04512">
        <w:rPr>
          <w:rFonts w:ascii="Times New Roman" w:hAnsi="Times New Roman" w:cs="Times New Roman"/>
          <w:sz w:val="24"/>
          <w:szCs w:val="24"/>
        </w:rPr>
        <w:t xml:space="preserve"> a 15-month AUP</w:t>
      </w:r>
      <w:r w:rsidR="00D065A7">
        <w:rPr>
          <w:rFonts w:ascii="Times New Roman" w:hAnsi="Times New Roman" w:cs="Times New Roman"/>
          <w:sz w:val="24"/>
          <w:szCs w:val="24"/>
        </w:rPr>
        <w:t xml:space="preserve"> engagement</w:t>
      </w:r>
      <w:r w:rsidR="00F04512">
        <w:rPr>
          <w:rFonts w:ascii="Times New Roman" w:hAnsi="Times New Roman" w:cs="Times New Roman"/>
          <w:sz w:val="24"/>
          <w:szCs w:val="24"/>
        </w:rPr>
        <w:t xml:space="preserve"> in the year of change.</w:t>
      </w:r>
    </w:p>
    <w:p w14:paraId="07D8328E" w14:textId="466A2992" w:rsidR="00417C40" w:rsidRDefault="001D65C0" w:rsidP="0058696F">
      <w:pPr>
        <w:jc w:val="both"/>
        <w:rPr>
          <w:rFonts w:ascii="Times New Roman" w:hAnsi="Times New Roman" w:cs="Times New Roman"/>
          <w:sz w:val="24"/>
          <w:szCs w:val="24"/>
        </w:rPr>
      </w:pPr>
      <w:r>
        <w:rPr>
          <w:rFonts w:ascii="Times New Roman" w:hAnsi="Times New Roman" w:cs="Times New Roman"/>
          <w:sz w:val="24"/>
          <w:szCs w:val="24"/>
        </w:rPr>
        <w:t>For nonprofit entities</w:t>
      </w:r>
      <w:r w:rsidR="00417C40">
        <w:rPr>
          <w:rFonts w:ascii="Times New Roman" w:hAnsi="Times New Roman" w:cs="Times New Roman"/>
          <w:sz w:val="24"/>
          <w:szCs w:val="24"/>
        </w:rPr>
        <w:t xml:space="preserve">, only those </w:t>
      </w:r>
      <w:r w:rsidR="007D19F6">
        <w:rPr>
          <w:rFonts w:ascii="Times New Roman" w:hAnsi="Times New Roman" w:cs="Times New Roman"/>
          <w:sz w:val="24"/>
          <w:szCs w:val="24"/>
        </w:rPr>
        <w:t>AUPs</w:t>
      </w:r>
      <w:r w:rsidR="00417C40">
        <w:rPr>
          <w:rFonts w:ascii="Times New Roman" w:hAnsi="Times New Roman" w:cs="Times New Roman"/>
          <w:sz w:val="24"/>
          <w:szCs w:val="24"/>
        </w:rPr>
        <w:t xml:space="preserve"> relevant to public monies</w:t>
      </w:r>
      <w:r w:rsidR="007D19F6">
        <w:rPr>
          <w:rFonts w:ascii="Times New Roman" w:hAnsi="Times New Roman" w:cs="Times New Roman"/>
          <w:sz w:val="24"/>
          <w:szCs w:val="24"/>
        </w:rPr>
        <w:t xml:space="preserve"> </w:t>
      </w:r>
      <w:r w:rsidR="00417C40">
        <w:rPr>
          <w:rFonts w:ascii="Times New Roman" w:hAnsi="Times New Roman" w:cs="Times New Roman"/>
          <w:sz w:val="24"/>
          <w:szCs w:val="24"/>
        </w:rPr>
        <w:t xml:space="preserve">are required to be </w:t>
      </w:r>
      <w:r w:rsidR="007D19F6">
        <w:rPr>
          <w:rFonts w:ascii="Times New Roman" w:hAnsi="Times New Roman" w:cs="Times New Roman"/>
          <w:sz w:val="24"/>
          <w:szCs w:val="24"/>
        </w:rPr>
        <w:t>included in the scope of the AUP engagement</w:t>
      </w:r>
      <w:r w:rsidR="00417C40">
        <w:rPr>
          <w:rFonts w:ascii="Times New Roman" w:hAnsi="Times New Roman" w:cs="Times New Roman"/>
          <w:sz w:val="24"/>
          <w:szCs w:val="24"/>
        </w:rPr>
        <w:t xml:space="preserve">.  For example, if a nonprofit receives $10 million in non-public funds </w:t>
      </w:r>
      <w:r w:rsidR="005F5CFD">
        <w:rPr>
          <w:rFonts w:ascii="Times New Roman" w:hAnsi="Times New Roman" w:cs="Times New Roman"/>
          <w:sz w:val="24"/>
          <w:szCs w:val="24"/>
        </w:rPr>
        <w:t xml:space="preserve">and </w:t>
      </w:r>
      <w:r w:rsidR="00417C40">
        <w:rPr>
          <w:rFonts w:ascii="Times New Roman" w:hAnsi="Times New Roman" w:cs="Times New Roman"/>
          <w:sz w:val="24"/>
          <w:szCs w:val="24"/>
        </w:rPr>
        <w:t>also receives $</w:t>
      </w:r>
      <w:r w:rsidR="00560FB5">
        <w:rPr>
          <w:rFonts w:ascii="Times New Roman" w:hAnsi="Times New Roman" w:cs="Times New Roman"/>
          <w:sz w:val="24"/>
          <w:szCs w:val="24"/>
        </w:rPr>
        <w:t>5</w:t>
      </w:r>
      <w:r w:rsidR="00417C40">
        <w:rPr>
          <w:rFonts w:ascii="Times New Roman" w:hAnsi="Times New Roman" w:cs="Times New Roman"/>
          <w:sz w:val="24"/>
          <w:szCs w:val="24"/>
        </w:rPr>
        <w:t>00,000 in public funds, only the $</w:t>
      </w:r>
      <w:r w:rsidR="00560FB5">
        <w:rPr>
          <w:rFonts w:ascii="Times New Roman" w:hAnsi="Times New Roman" w:cs="Times New Roman"/>
          <w:sz w:val="24"/>
          <w:szCs w:val="24"/>
        </w:rPr>
        <w:t>5</w:t>
      </w:r>
      <w:r w:rsidR="00417C40">
        <w:rPr>
          <w:rFonts w:ascii="Times New Roman" w:hAnsi="Times New Roman" w:cs="Times New Roman"/>
          <w:sz w:val="24"/>
          <w:szCs w:val="24"/>
        </w:rPr>
        <w:t xml:space="preserve">00,000 </w:t>
      </w:r>
      <w:r w:rsidR="007F0E74">
        <w:rPr>
          <w:rFonts w:ascii="Times New Roman" w:hAnsi="Times New Roman" w:cs="Times New Roman"/>
          <w:sz w:val="24"/>
          <w:szCs w:val="24"/>
        </w:rPr>
        <w:t xml:space="preserve">in public funds </w:t>
      </w:r>
      <w:r w:rsidR="00417C40">
        <w:rPr>
          <w:rFonts w:ascii="Times New Roman" w:hAnsi="Times New Roman" w:cs="Times New Roman"/>
          <w:sz w:val="24"/>
          <w:szCs w:val="24"/>
        </w:rPr>
        <w:t xml:space="preserve">would be subject to the </w:t>
      </w:r>
      <w:r>
        <w:rPr>
          <w:rFonts w:ascii="Times New Roman" w:hAnsi="Times New Roman" w:cs="Times New Roman"/>
          <w:sz w:val="24"/>
          <w:szCs w:val="24"/>
        </w:rPr>
        <w:t>AUPs</w:t>
      </w:r>
      <w:r w:rsidR="00417C40">
        <w:rPr>
          <w:rFonts w:ascii="Times New Roman" w:hAnsi="Times New Roman" w:cs="Times New Roman"/>
          <w:sz w:val="24"/>
          <w:szCs w:val="24"/>
        </w:rPr>
        <w:t xml:space="preserve"> if the funds are not otherwise commingled.  I</w:t>
      </w:r>
      <w:r>
        <w:rPr>
          <w:rFonts w:ascii="Times New Roman" w:hAnsi="Times New Roman" w:cs="Times New Roman"/>
          <w:sz w:val="24"/>
          <w:szCs w:val="24"/>
        </w:rPr>
        <w:t>n</w:t>
      </w:r>
      <w:r w:rsidR="00417C40">
        <w:rPr>
          <w:rFonts w:ascii="Times New Roman" w:hAnsi="Times New Roman" w:cs="Times New Roman"/>
          <w:sz w:val="24"/>
          <w:szCs w:val="24"/>
        </w:rPr>
        <w:t xml:space="preserve"> this example</w:t>
      </w:r>
      <w:r>
        <w:rPr>
          <w:rFonts w:ascii="Times New Roman" w:hAnsi="Times New Roman" w:cs="Times New Roman"/>
          <w:sz w:val="24"/>
          <w:szCs w:val="24"/>
        </w:rPr>
        <w:t>, if the</w:t>
      </w:r>
      <w:r w:rsidR="00417C40">
        <w:rPr>
          <w:rFonts w:ascii="Times New Roman" w:hAnsi="Times New Roman" w:cs="Times New Roman"/>
          <w:sz w:val="24"/>
          <w:szCs w:val="24"/>
        </w:rPr>
        <w:t xml:space="preserve"> nonprofit did not use </w:t>
      </w:r>
      <w:r w:rsidR="00222B99">
        <w:rPr>
          <w:rFonts w:ascii="Times New Roman" w:hAnsi="Times New Roman" w:cs="Times New Roman"/>
          <w:sz w:val="24"/>
          <w:szCs w:val="24"/>
        </w:rPr>
        <w:t xml:space="preserve">any of the </w:t>
      </w:r>
      <w:r w:rsidR="00560FB5">
        <w:rPr>
          <w:rFonts w:ascii="Times New Roman" w:hAnsi="Times New Roman" w:cs="Times New Roman"/>
          <w:sz w:val="24"/>
          <w:szCs w:val="24"/>
        </w:rPr>
        <w:t>$5</w:t>
      </w:r>
      <w:r w:rsidR="00417C40">
        <w:rPr>
          <w:rFonts w:ascii="Times New Roman" w:hAnsi="Times New Roman" w:cs="Times New Roman"/>
          <w:sz w:val="24"/>
          <w:szCs w:val="24"/>
        </w:rPr>
        <w:t xml:space="preserve">00,000 in public funds for payroll or travel expenses, the portions of the </w:t>
      </w:r>
      <w:r w:rsidR="007017EB">
        <w:rPr>
          <w:rFonts w:ascii="Times New Roman" w:hAnsi="Times New Roman" w:cs="Times New Roman"/>
          <w:sz w:val="24"/>
          <w:szCs w:val="24"/>
        </w:rPr>
        <w:t>AUPs</w:t>
      </w:r>
      <w:r w:rsidR="00417C40">
        <w:rPr>
          <w:rFonts w:ascii="Times New Roman" w:hAnsi="Times New Roman" w:cs="Times New Roman"/>
          <w:sz w:val="24"/>
          <w:szCs w:val="24"/>
        </w:rPr>
        <w:t xml:space="preserve"> relating to these areas are not required to be </w:t>
      </w:r>
      <w:r>
        <w:rPr>
          <w:rFonts w:ascii="Times New Roman" w:hAnsi="Times New Roman" w:cs="Times New Roman"/>
          <w:sz w:val="24"/>
          <w:szCs w:val="24"/>
        </w:rPr>
        <w:t xml:space="preserve">included in the </w:t>
      </w:r>
      <w:r w:rsidR="00EC017C">
        <w:rPr>
          <w:rFonts w:ascii="Times New Roman" w:hAnsi="Times New Roman" w:cs="Times New Roman"/>
          <w:sz w:val="24"/>
          <w:szCs w:val="24"/>
        </w:rPr>
        <w:t xml:space="preserve">scope of the </w:t>
      </w:r>
      <w:r>
        <w:rPr>
          <w:rFonts w:ascii="Times New Roman" w:hAnsi="Times New Roman" w:cs="Times New Roman"/>
          <w:sz w:val="24"/>
          <w:szCs w:val="24"/>
        </w:rPr>
        <w:t>AUP engagement or report</w:t>
      </w:r>
      <w:r w:rsidR="00417C40">
        <w:rPr>
          <w:rFonts w:ascii="Times New Roman" w:hAnsi="Times New Roman" w:cs="Times New Roman"/>
          <w:sz w:val="24"/>
          <w:szCs w:val="24"/>
        </w:rPr>
        <w:t>.</w:t>
      </w:r>
    </w:p>
    <w:p w14:paraId="0C181661" w14:textId="25638E70" w:rsidR="00965E4C" w:rsidRDefault="007D036F" w:rsidP="0058696F">
      <w:pPr>
        <w:jc w:val="both"/>
        <w:rPr>
          <w:rFonts w:ascii="Times New Roman" w:hAnsi="Times New Roman" w:cs="Times New Roman"/>
          <w:sz w:val="24"/>
          <w:szCs w:val="24"/>
        </w:rPr>
      </w:pPr>
      <w:r>
        <w:rPr>
          <w:rFonts w:ascii="Times New Roman" w:hAnsi="Times New Roman" w:cs="Times New Roman"/>
          <w:sz w:val="24"/>
          <w:szCs w:val="24"/>
        </w:rPr>
        <w:t xml:space="preserve">If the practitioner believes the AUPs collectively </w:t>
      </w:r>
      <w:r w:rsidR="00DA3E94">
        <w:rPr>
          <w:rFonts w:ascii="Times New Roman" w:hAnsi="Times New Roman" w:cs="Times New Roman"/>
          <w:sz w:val="24"/>
          <w:szCs w:val="24"/>
        </w:rPr>
        <w:t>cannot</w:t>
      </w:r>
      <w:r>
        <w:rPr>
          <w:rFonts w:ascii="Times New Roman" w:hAnsi="Times New Roman" w:cs="Times New Roman"/>
          <w:sz w:val="24"/>
          <w:szCs w:val="24"/>
        </w:rPr>
        <w:t xml:space="preserve"> be performed based on the nature o</w:t>
      </w:r>
      <w:r w:rsidR="002313E5">
        <w:rPr>
          <w:rFonts w:ascii="Times New Roman" w:hAnsi="Times New Roman" w:cs="Times New Roman"/>
          <w:sz w:val="24"/>
          <w:szCs w:val="24"/>
        </w:rPr>
        <w:t>f the entity’s operations</w:t>
      </w:r>
      <w:r>
        <w:rPr>
          <w:rFonts w:ascii="Times New Roman" w:hAnsi="Times New Roman" w:cs="Times New Roman"/>
          <w:sz w:val="24"/>
          <w:szCs w:val="24"/>
        </w:rPr>
        <w:t xml:space="preserve">, please contact the LLA </w:t>
      </w:r>
      <w:r w:rsidR="00B162BA">
        <w:rPr>
          <w:rFonts w:ascii="Times New Roman" w:hAnsi="Times New Roman" w:cs="Times New Roman"/>
          <w:sz w:val="24"/>
          <w:szCs w:val="24"/>
        </w:rPr>
        <w:t xml:space="preserve">to request </w:t>
      </w:r>
      <w:r>
        <w:rPr>
          <w:rFonts w:ascii="Times New Roman" w:hAnsi="Times New Roman" w:cs="Times New Roman"/>
          <w:sz w:val="24"/>
          <w:szCs w:val="24"/>
        </w:rPr>
        <w:t>an exemption to the AUPs.  I</w:t>
      </w:r>
      <w:r w:rsidR="00965E4C">
        <w:rPr>
          <w:rFonts w:ascii="Times New Roman" w:hAnsi="Times New Roman" w:cs="Times New Roman"/>
          <w:sz w:val="24"/>
          <w:szCs w:val="24"/>
        </w:rPr>
        <w:t xml:space="preserve">f a specific procedure </w:t>
      </w:r>
      <w:r w:rsidR="00DA3E94">
        <w:rPr>
          <w:rFonts w:ascii="Times New Roman" w:hAnsi="Times New Roman" w:cs="Times New Roman"/>
          <w:sz w:val="24"/>
          <w:szCs w:val="24"/>
        </w:rPr>
        <w:t>cannot</w:t>
      </w:r>
      <w:r w:rsidR="00965E4C">
        <w:rPr>
          <w:rFonts w:ascii="Times New Roman" w:hAnsi="Times New Roman" w:cs="Times New Roman"/>
          <w:sz w:val="24"/>
          <w:szCs w:val="24"/>
        </w:rPr>
        <w:t xml:space="preserve"> be performed </w:t>
      </w:r>
      <w:r>
        <w:rPr>
          <w:rFonts w:ascii="Times New Roman" w:hAnsi="Times New Roman" w:cs="Times New Roman"/>
          <w:sz w:val="24"/>
          <w:szCs w:val="24"/>
        </w:rPr>
        <w:t>based</w:t>
      </w:r>
      <w:r w:rsidR="00965E4C">
        <w:rPr>
          <w:rFonts w:ascii="Times New Roman" w:hAnsi="Times New Roman" w:cs="Times New Roman"/>
          <w:sz w:val="24"/>
          <w:szCs w:val="24"/>
        </w:rPr>
        <w:t xml:space="preserve"> o</w:t>
      </w:r>
      <w:r w:rsidR="00BB16F0">
        <w:rPr>
          <w:rFonts w:ascii="Times New Roman" w:hAnsi="Times New Roman" w:cs="Times New Roman"/>
          <w:sz w:val="24"/>
          <w:szCs w:val="24"/>
        </w:rPr>
        <w:t>n</w:t>
      </w:r>
      <w:r w:rsidR="00965E4C">
        <w:rPr>
          <w:rFonts w:ascii="Times New Roman" w:hAnsi="Times New Roman" w:cs="Times New Roman"/>
          <w:sz w:val="24"/>
          <w:szCs w:val="24"/>
        </w:rPr>
        <w:t xml:space="preserve"> the nature of the entity’s operations, an equivalent procedure may be substituted (e.g., alternate sampling population, alternate met</w:t>
      </w:r>
      <w:r>
        <w:rPr>
          <w:rFonts w:ascii="Times New Roman" w:hAnsi="Times New Roman" w:cs="Times New Roman"/>
          <w:sz w:val="24"/>
          <w:szCs w:val="24"/>
        </w:rPr>
        <w:t xml:space="preserve">hod of compiling documentation) </w:t>
      </w:r>
      <w:r w:rsidR="00CC33BD">
        <w:rPr>
          <w:rFonts w:ascii="Times New Roman" w:hAnsi="Times New Roman" w:cs="Times New Roman"/>
          <w:sz w:val="24"/>
          <w:szCs w:val="24"/>
        </w:rPr>
        <w:t>at the practitioner’s discretion</w:t>
      </w:r>
      <w:r>
        <w:rPr>
          <w:rFonts w:ascii="Times New Roman" w:hAnsi="Times New Roman" w:cs="Times New Roman"/>
          <w:sz w:val="24"/>
          <w:szCs w:val="24"/>
        </w:rPr>
        <w:t>.</w:t>
      </w:r>
      <w:r w:rsidR="00032942">
        <w:rPr>
          <w:rFonts w:ascii="Times New Roman" w:hAnsi="Times New Roman" w:cs="Times New Roman"/>
          <w:sz w:val="24"/>
          <w:szCs w:val="24"/>
        </w:rPr>
        <w:t xml:space="preserve">  Please note the substitute procedure would need to be included in the AUP report</w:t>
      </w:r>
      <w:r w:rsidR="00B162BA">
        <w:rPr>
          <w:rFonts w:ascii="Times New Roman" w:hAnsi="Times New Roman" w:cs="Times New Roman"/>
          <w:sz w:val="24"/>
          <w:szCs w:val="24"/>
        </w:rPr>
        <w:t xml:space="preserve"> in place of the original procedure</w:t>
      </w:r>
      <w:r w:rsidR="007B7A3F">
        <w:rPr>
          <w:rFonts w:ascii="Times New Roman" w:hAnsi="Times New Roman" w:cs="Times New Roman"/>
          <w:sz w:val="24"/>
          <w:szCs w:val="24"/>
        </w:rPr>
        <w:t>,</w:t>
      </w:r>
      <w:r w:rsidR="00032942">
        <w:rPr>
          <w:rFonts w:ascii="Times New Roman" w:hAnsi="Times New Roman" w:cs="Times New Roman"/>
          <w:sz w:val="24"/>
          <w:szCs w:val="24"/>
        </w:rPr>
        <w:t xml:space="preserve"> and </w:t>
      </w:r>
      <w:r w:rsidR="00B162BA">
        <w:rPr>
          <w:rFonts w:ascii="Times New Roman" w:hAnsi="Times New Roman" w:cs="Times New Roman"/>
          <w:sz w:val="24"/>
          <w:szCs w:val="24"/>
        </w:rPr>
        <w:t xml:space="preserve">this change </w:t>
      </w:r>
      <w:r w:rsidR="007B7A3F">
        <w:rPr>
          <w:rFonts w:ascii="Times New Roman" w:hAnsi="Times New Roman" w:cs="Times New Roman"/>
          <w:sz w:val="24"/>
          <w:szCs w:val="24"/>
        </w:rPr>
        <w:t xml:space="preserve">in procedures </w:t>
      </w:r>
      <w:r w:rsidR="00032942">
        <w:rPr>
          <w:rFonts w:ascii="Times New Roman" w:hAnsi="Times New Roman" w:cs="Times New Roman"/>
          <w:sz w:val="24"/>
          <w:szCs w:val="24"/>
        </w:rPr>
        <w:t xml:space="preserve">may require the practitioner to update his or </w:t>
      </w:r>
      <w:r w:rsidR="007B7A3F">
        <w:rPr>
          <w:rFonts w:ascii="Times New Roman" w:hAnsi="Times New Roman" w:cs="Times New Roman"/>
          <w:sz w:val="24"/>
          <w:szCs w:val="24"/>
        </w:rPr>
        <w:t>her client engagement agreement accordingly.</w:t>
      </w:r>
    </w:p>
    <w:p w14:paraId="131F41D6" w14:textId="798EF3DC" w:rsidR="004E6A3D" w:rsidRDefault="004E6A3D" w:rsidP="0058696F">
      <w:pPr>
        <w:jc w:val="both"/>
        <w:rPr>
          <w:rFonts w:ascii="Times New Roman" w:hAnsi="Times New Roman" w:cs="Times New Roman"/>
          <w:sz w:val="24"/>
          <w:szCs w:val="24"/>
        </w:rPr>
      </w:pPr>
      <w:r>
        <w:rPr>
          <w:rFonts w:ascii="Times New Roman" w:hAnsi="Times New Roman" w:cs="Times New Roman"/>
          <w:sz w:val="24"/>
          <w:szCs w:val="24"/>
        </w:rPr>
        <w:t>For school boards only, the practitioner should consider the deposit site and collection location to be the same if there is a central person (secretary or bookkeeper) through which collections are deposited.</w:t>
      </w:r>
      <w:r w:rsidR="00C54B58">
        <w:rPr>
          <w:rFonts w:ascii="Times New Roman" w:hAnsi="Times New Roman" w:cs="Times New Roman"/>
          <w:sz w:val="24"/>
          <w:szCs w:val="24"/>
        </w:rPr>
        <w:t xml:space="preserve">  The practitioner is required to test documentation at the secretary/bookkeeper level </w:t>
      </w:r>
      <w:r w:rsidR="007F0E74">
        <w:rPr>
          <w:rFonts w:ascii="Times New Roman" w:hAnsi="Times New Roman" w:cs="Times New Roman"/>
          <w:sz w:val="24"/>
          <w:szCs w:val="24"/>
        </w:rPr>
        <w:t xml:space="preserve">only </w:t>
      </w:r>
      <w:r w:rsidR="00C54B58">
        <w:rPr>
          <w:rFonts w:ascii="Times New Roman" w:hAnsi="Times New Roman" w:cs="Times New Roman"/>
          <w:sz w:val="24"/>
          <w:szCs w:val="24"/>
        </w:rPr>
        <w:t>and is not required to test for completeness of revenues relative to classroom collections by teachers.</w:t>
      </w:r>
      <w:r w:rsidR="00E574CA">
        <w:rPr>
          <w:rStyle w:val="FootnoteReference"/>
          <w:rFonts w:ascii="Times New Roman" w:hAnsi="Times New Roman" w:cs="Times New Roman"/>
          <w:sz w:val="24"/>
          <w:szCs w:val="24"/>
        </w:rPr>
        <w:footnoteReference w:id="4"/>
      </w:r>
    </w:p>
    <w:p w14:paraId="312D63DE" w14:textId="77777777" w:rsidR="001C40B6" w:rsidRDefault="001C40B6">
      <w:pPr>
        <w:rPr>
          <w:rFonts w:ascii="Times New Roman" w:hAnsi="Times New Roman" w:cs="Times New Roman"/>
          <w:sz w:val="24"/>
          <w:szCs w:val="24"/>
        </w:rPr>
      </w:pPr>
      <w:r>
        <w:rPr>
          <w:rFonts w:ascii="Times New Roman" w:hAnsi="Times New Roman" w:cs="Times New Roman"/>
          <w:sz w:val="24"/>
          <w:szCs w:val="24"/>
        </w:rPr>
        <w:br w:type="page"/>
      </w:r>
    </w:p>
    <w:p w14:paraId="355D0D2C" w14:textId="77777777" w:rsidR="00A02A79" w:rsidRDefault="00A02A79" w:rsidP="00487DBF">
      <w:pPr>
        <w:spacing w:after="120"/>
        <w:jc w:val="both"/>
        <w:rPr>
          <w:rFonts w:ascii="Times New Roman" w:hAnsi="Times New Roman" w:cs="Times New Roman"/>
          <w:sz w:val="24"/>
          <w:szCs w:val="24"/>
        </w:rPr>
      </w:pPr>
    </w:p>
    <w:p w14:paraId="4DCF1C70" w14:textId="77777777" w:rsidR="009A428D" w:rsidRPr="009A428D" w:rsidRDefault="009A428D" w:rsidP="009A428D">
      <w:pPr>
        <w:pBdr>
          <w:top w:val="double" w:sz="4" w:space="0" w:color="auto"/>
          <w:bottom w:val="double" w:sz="4" w:space="1" w:color="auto"/>
        </w:pBdr>
        <w:shd w:val="clear" w:color="auto" w:fill="053A63"/>
        <w:spacing w:after="240" w:line="240" w:lineRule="auto"/>
        <w:jc w:val="center"/>
        <w:outlineLvl w:val="0"/>
        <w:rPr>
          <w:rFonts w:ascii="Times New Roman" w:eastAsia="Times New Roman" w:hAnsi="Times New Roman" w:cs="Times New Roman"/>
          <w:b/>
          <w:color w:val="FFFFFF" w:themeColor="background1"/>
          <w:sz w:val="32"/>
          <w:szCs w:val="32"/>
        </w:rPr>
      </w:pPr>
      <w:r>
        <w:rPr>
          <w:rFonts w:ascii="Times New Roman" w:eastAsia="Times New Roman" w:hAnsi="Times New Roman" w:cs="Times New Roman"/>
          <w:b/>
          <w:color w:val="FFFFFF" w:themeColor="background1"/>
          <w:sz w:val="32"/>
          <w:szCs w:val="32"/>
        </w:rPr>
        <w:t>Procedures</w:t>
      </w:r>
    </w:p>
    <w:p w14:paraId="1D82CB28" w14:textId="37F7984B" w:rsidR="00557BF8" w:rsidRPr="00557BF8" w:rsidRDefault="00557BF8" w:rsidP="00557BF8">
      <w:pPr>
        <w:spacing w:after="120"/>
        <w:jc w:val="both"/>
        <w:rPr>
          <w:rFonts w:ascii="Times New Roman" w:hAnsi="Times New Roman" w:cs="Times New Roman"/>
          <w:sz w:val="24"/>
          <w:szCs w:val="24"/>
        </w:rPr>
      </w:pPr>
      <w:r>
        <w:rPr>
          <w:rFonts w:ascii="Times New Roman" w:hAnsi="Times New Roman" w:cs="Times New Roman"/>
          <w:sz w:val="24"/>
          <w:szCs w:val="24"/>
        </w:rPr>
        <w:t xml:space="preserve">Report all exceptions to the </w:t>
      </w:r>
      <w:r w:rsidR="00F70499">
        <w:rPr>
          <w:rFonts w:ascii="Times New Roman" w:hAnsi="Times New Roman" w:cs="Times New Roman"/>
          <w:sz w:val="24"/>
          <w:szCs w:val="24"/>
        </w:rPr>
        <w:t xml:space="preserve">following </w:t>
      </w:r>
      <w:r>
        <w:rPr>
          <w:rFonts w:ascii="Times New Roman" w:hAnsi="Times New Roman" w:cs="Times New Roman"/>
          <w:sz w:val="24"/>
          <w:szCs w:val="24"/>
        </w:rPr>
        <w:t>procedures, either after each procedure or after all procedures</w:t>
      </w:r>
      <w:r w:rsidR="006609FC">
        <w:rPr>
          <w:rFonts w:ascii="Times New Roman" w:hAnsi="Times New Roman" w:cs="Times New Roman"/>
          <w:sz w:val="24"/>
          <w:szCs w:val="24"/>
        </w:rPr>
        <w:t>,</w:t>
      </w:r>
      <w:r>
        <w:rPr>
          <w:rFonts w:ascii="Times New Roman" w:hAnsi="Times New Roman" w:cs="Times New Roman"/>
          <w:sz w:val="24"/>
          <w:szCs w:val="24"/>
        </w:rPr>
        <w:t xml:space="preserve"> within each </w:t>
      </w:r>
      <w:r w:rsidR="00D065A7">
        <w:rPr>
          <w:rFonts w:ascii="Times New Roman" w:hAnsi="Times New Roman" w:cs="Times New Roman"/>
          <w:sz w:val="24"/>
          <w:szCs w:val="24"/>
        </w:rPr>
        <w:t xml:space="preserve">of the </w:t>
      </w:r>
      <w:r w:rsidR="00811F3C">
        <w:rPr>
          <w:rFonts w:ascii="Times New Roman" w:hAnsi="Times New Roman" w:cs="Times New Roman"/>
          <w:sz w:val="24"/>
          <w:szCs w:val="24"/>
        </w:rPr>
        <w:t>fourteen</w:t>
      </w:r>
      <w:r w:rsidR="00D065A7">
        <w:rPr>
          <w:rFonts w:ascii="Times New Roman" w:hAnsi="Times New Roman" w:cs="Times New Roman"/>
          <w:sz w:val="24"/>
          <w:szCs w:val="24"/>
        </w:rPr>
        <w:t xml:space="preserve"> AUP categories</w:t>
      </w:r>
      <w:r>
        <w:rPr>
          <w:rFonts w:ascii="Times New Roman" w:hAnsi="Times New Roman" w:cs="Times New Roman"/>
          <w:sz w:val="24"/>
          <w:szCs w:val="24"/>
        </w:rPr>
        <w:t>.</w:t>
      </w:r>
      <w:r w:rsidR="006225CB">
        <w:rPr>
          <w:rFonts w:ascii="Times New Roman" w:hAnsi="Times New Roman" w:cs="Times New Roman"/>
          <w:sz w:val="24"/>
          <w:szCs w:val="24"/>
        </w:rPr>
        <w:t xml:space="preserve">  “Random” selections </w:t>
      </w:r>
      <w:r w:rsidR="009336EC">
        <w:rPr>
          <w:rFonts w:ascii="Times New Roman" w:hAnsi="Times New Roman" w:cs="Times New Roman"/>
          <w:sz w:val="24"/>
          <w:szCs w:val="24"/>
        </w:rPr>
        <w:t>may</w:t>
      </w:r>
      <w:r w:rsidR="006225CB">
        <w:rPr>
          <w:rFonts w:ascii="Times New Roman" w:hAnsi="Times New Roman" w:cs="Times New Roman"/>
          <w:sz w:val="24"/>
          <w:szCs w:val="24"/>
        </w:rPr>
        <w:t xml:space="preserve"> be made using Microsoft Excel’s random number generator or a</w:t>
      </w:r>
      <w:r w:rsidR="007C54E7">
        <w:rPr>
          <w:rFonts w:ascii="Times New Roman" w:hAnsi="Times New Roman" w:cs="Times New Roman"/>
          <w:sz w:val="24"/>
          <w:szCs w:val="24"/>
        </w:rPr>
        <w:t>n alternate</w:t>
      </w:r>
      <w:r w:rsidR="006225CB">
        <w:rPr>
          <w:rFonts w:ascii="Times New Roman" w:hAnsi="Times New Roman" w:cs="Times New Roman"/>
          <w:sz w:val="24"/>
          <w:szCs w:val="24"/>
        </w:rPr>
        <w:t xml:space="preserve"> method</w:t>
      </w:r>
      <w:r w:rsidR="007C54E7">
        <w:rPr>
          <w:rFonts w:ascii="Times New Roman" w:hAnsi="Times New Roman" w:cs="Times New Roman"/>
          <w:sz w:val="24"/>
          <w:szCs w:val="24"/>
        </w:rPr>
        <w:t xml:space="preserve"> selected by the practitioner that results in an equivalent sample</w:t>
      </w:r>
      <w:r w:rsidR="00553B17">
        <w:rPr>
          <w:rFonts w:ascii="Times New Roman" w:hAnsi="Times New Roman" w:cs="Times New Roman"/>
          <w:sz w:val="24"/>
          <w:szCs w:val="24"/>
        </w:rPr>
        <w:t xml:space="preserve"> (e.g., those methods allowed under the AICPA Audit Guide - </w:t>
      </w:r>
      <w:r w:rsidR="00553B17" w:rsidRPr="00553B17">
        <w:rPr>
          <w:rFonts w:ascii="Times New Roman" w:hAnsi="Times New Roman" w:cs="Times New Roman"/>
          <w:i/>
          <w:sz w:val="24"/>
          <w:szCs w:val="24"/>
        </w:rPr>
        <w:t>Audit Sampling</w:t>
      </w:r>
      <w:r w:rsidR="00553B17">
        <w:rPr>
          <w:rFonts w:ascii="Times New Roman" w:hAnsi="Times New Roman" w:cs="Times New Roman"/>
          <w:sz w:val="24"/>
          <w:szCs w:val="24"/>
        </w:rPr>
        <w:t>)</w:t>
      </w:r>
      <w:r w:rsidR="006225CB">
        <w:rPr>
          <w:rFonts w:ascii="Times New Roman" w:hAnsi="Times New Roman" w:cs="Times New Roman"/>
          <w:sz w:val="24"/>
          <w:szCs w:val="24"/>
        </w:rPr>
        <w:t>.</w:t>
      </w:r>
    </w:p>
    <w:p w14:paraId="3DB88889" w14:textId="77777777" w:rsidR="00557BF8" w:rsidRPr="00557BF8" w:rsidRDefault="00557BF8" w:rsidP="00557BF8">
      <w:pPr>
        <w:spacing w:after="120"/>
        <w:jc w:val="both"/>
        <w:rPr>
          <w:rFonts w:ascii="Times New Roman" w:hAnsi="Times New Roman" w:cs="Times New Roman"/>
          <w:sz w:val="24"/>
          <w:szCs w:val="24"/>
        </w:rPr>
      </w:pPr>
    </w:p>
    <w:p w14:paraId="6B5AC2CA" w14:textId="77777777" w:rsidR="00823086" w:rsidRPr="009C283F" w:rsidRDefault="009C283F" w:rsidP="00823086">
      <w:pPr>
        <w:pBdr>
          <w:bottom w:val="single" w:sz="4" w:space="1" w:color="auto"/>
        </w:pBdr>
        <w:spacing w:after="0" w:line="240" w:lineRule="auto"/>
        <w:rPr>
          <w:rFonts w:ascii="Times New Roman" w:eastAsia="Times New Roman" w:hAnsi="Times New Roman" w:cs="Times New Roman"/>
          <w:b/>
          <w:i/>
          <w:color w:val="000000"/>
          <w:sz w:val="24"/>
          <w:szCs w:val="24"/>
        </w:rPr>
      </w:pPr>
      <w:r w:rsidRPr="009C283F">
        <w:rPr>
          <w:rFonts w:ascii="Times New Roman" w:eastAsia="Times New Roman" w:hAnsi="Times New Roman" w:cs="Times New Roman"/>
          <w:b/>
          <w:i/>
          <w:color w:val="000000"/>
          <w:sz w:val="24"/>
          <w:szCs w:val="24"/>
        </w:rPr>
        <w:t>Written Policies and Procedures</w:t>
      </w:r>
    </w:p>
    <w:p w14:paraId="13EFA31E" w14:textId="77777777" w:rsidR="00823086" w:rsidRPr="009C283F" w:rsidRDefault="00823086" w:rsidP="00823086">
      <w:pPr>
        <w:spacing w:after="0" w:line="240" w:lineRule="auto"/>
        <w:rPr>
          <w:rFonts w:ascii="Times New Roman" w:eastAsia="Times New Roman" w:hAnsi="Times New Roman" w:cs="Times New Roman"/>
          <w:color w:val="000000"/>
          <w:sz w:val="24"/>
          <w:szCs w:val="24"/>
        </w:rPr>
      </w:pPr>
    </w:p>
    <w:p w14:paraId="6B516061" w14:textId="775C359A" w:rsidR="009C283F" w:rsidRPr="009C283F" w:rsidRDefault="00AD2DBE" w:rsidP="00487DBF">
      <w:pPr>
        <w:numPr>
          <w:ilvl w:val="0"/>
          <w:numId w:val="4"/>
        </w:numPr>
        <w:tabs>
          <w:tab w:val="num" w:pos="360"/>
        </w:tabs>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Obtain</w:t>
      </w:r>
      <w:r w:rsidR="0063516C">
        <w:rPr>
          <w:rFonts w:ascii="Times New Roman" w:eastAsia="Times New Roman" w:hAnsi="Times New Roman" w:cs="Times New Roman"/>
          <w:sz w:val="24"/>
          <w:szCs w:val="24"/>
        </w:rPr>
        <w:t xml:space="preserve"> and inspect</w:t>
      </w:r>
      <w:r>
        <w:rPr>
          <w:rFonts w:ascii="Times New Roman" w:eastAsia="Times New Roman" w:hAnsi="Times New Roman" w:cs="Times New Roman"/>
          <w:sz w:val="24"/>
          <w:szCs w:val="24"/>
        </w:rPr>
        <w:t xml:space="preserve"> the entity’s</w:t>
      </w:r>
      <w:r w:rsidR="009C283F" w:rsidRPr="009C283F">
        <w:rPr>
          <w:rFonts w:ascii="Times New Roman" w:eastAsia="Times New Roman" w:hAnsi="Times New Roman" w:cs="Times New Roman"/>
          <w:sz w:val="24"/>
          <w:szCs w:val="24"/>
        </w:rPr>
        <w:t xml:space="preserve"> written policies and procedures</w:t>
      </w:r>
      <w:r w:rsidR="00C843F8">
        <w:rPr>
          <w:rFonts w:ascii="Times New Roman" w:eastAsia="Times New Roman" w:hAnsi="Times New Roman" w:cs="Times New Roman"/>
          <w:sz w:val="24"/>
          <w:szCs w:val="24"/>
        </w:rPr>
        <w:t xml:space="preserve"> and </w:t>
      </w:r>
      <w:r w:rsidR="0063516C">
        <w:rPr>
          <w:rFonts w:ascii="Times New Roman" w:eastAsia="Times New Roman" w:hAnsi="Times New Roman" w:cs="Times New Roman"/>
          <w:sz w:val="24"/>
          <w:szCs w:val="24"/>
        </w:rPr>
        <w:t>observe</w:t>
      </w:r>
      <w:r w:rsidR="00C843F8">
        <w:rPr>
          <w:rFonts w:ascii="Times New Roman" w:eastAsia="Times New Roman" w:hAnsi="Times New Roman" w:cs="Times New Roman"/>
          <w:sz w:val="24"/>
          <w:szCs w:val="24"/>
        </w:rPr>
        <w:t xml:space="preserve"> </w:t>
      </w:r>
      <w:r w:rsidR="00A5492D">
        <w:rPr>
          <w:rFonts w:ascii="Times New Roman" w:eastAsia="Times New Roman" w:hAnsi="Times New Roman" w:cs="Times New Roman"/>
          <w:sz w:val="24"/>
          <w:szCs w:val="24"/>
        </w:rPr>
        <w:t>whether</w:t>
      </w:r>
      <w:r>
        <w:rPr>
          <w:rFonts w:ascii="Times New Roman" w:eastAsia="Times New Roman" w:hAnsi="Times New Roman" w:cs="Times New Roman"/>
          <w:sz w:val="24"/>
          <w:szCs w:val="24"/>
        </w:rPr>
        <w:t xml:space="preserve"> th</w:t>
      </w:r>
      <w:r w:rsidR="00E97756">
        <w:rPr>
          <w:rFonts w:ascii="Times New Roman" w:eastAsia="Times New Roman" w:hAnsi="Times New Roman" w:cs="Times New Roman"/>
          <w:sz w:val="24"/>
          <w:szCs w:val="24"/>
        </w:rPr>
        <w:t>ey</w:t>
      </w:r>
      <w:r>
        <w:rPr>
          <w:rFonts w:ascii="Times New Roman" w:eastAsia="Times New Roman" w:hAnsi="Times New Roman" w:cs="Times New Roman"/>
          <w:sz w:val="24"/>
          <w:szCs w:val="24"/>
        </w:rPr>
        <w:t xml:space="preserve"> address</w:t>
      </w:r>
      <w:r w:rsidR="009C283F" w:rsidRPr="009C283F">
        <w:rPr>
          <w:rFonts w:ascii="Times New Roman" w:eastAsia="Times New Roman" w:hAnsi="Times New Roman" w:cs="Times New Roman"/>
          <w:sz w:val="24"/>
          <w:szCs w:val="24"/>
        </w:rPr>
        <w:t xml:space="preserve"> </w:t>
      </w:r>
      <w:r w:rsidR="00165EA8">
        <w:rPr>
          <w:rFonts w:ascii="Times New Roman" w:eastAsia="Times New Roman" w:hAnsi="Times New Roman" w:cs="Times New Roman"/>
          <w:sz w:val="24"/>
          <w:szCs w:val="24"/>
        </w:rPr>
        <w:t>each</w:t>
      </w:r>
      <w:r w:rsidR="00BE3050">
        <w:rPr>
          <w:rFonts w:ascii="Times New Roman" w:eastAsia="Times New Roman" w:hAnsi="Times New Roman" w:cs="Times New Roman"/>
          <w:sz w:val="24"/>
          <w:szCs w:val="24"/>
        </w:rPr>
        <w:t xml:space="preserve"> of </w:t>
      </w:r>
      <w:r w:rsidR="002717CE">
        <w:rPr>
          <w:rFonts w:ascii="Times New Roman" w:eastAsia="Times New Roman" w:hAnsi="Times New Roman" w:cs="Times New Roman"/>
          <w:sz w:val="24"/>
          <w:szCs w:val="24"/>
        </w:rPr>
        <w:t>the following categories and subcategories</w:t>
      </w:r>
      <w:r w:rsidR="00045CFE">
        <w:rPr>
          <w:rFonts w:ascii="Times New Roman" w:eastAsia="Times New Roman" w:hAnsi="Times New Roman" w:cs="Times New Roman"/>
          <w:sz w:val="24"/>
          <w:szCs w:val="24"/>
        </w:rPr>
        <w:t xml:space="preserve"> if</w:t>
      </w:r>
      <w:r w:rsidR="00DE7729">
        <w:rPr>
          <w:rFonts w:ascii="Times New Roman" w:eastAsia="Times New Roman" w:hAnsi="Times New Roman" w:cs="Times New Roman"/>
          <w:sz w:val="24"/>
          <w:szCs w:val="24"/>
        </w:rPr>
        <w:t xml:space="preserve"> applicable</w:t>
      </w:r>
      <w:r w:rsidR="00045CFE">
        <w:rPr>
          <w:rFonts w:ascii="Times New Roman" w:eastAsia="Times New Roman" w:hAnsi="Times New Roman" w:cs="Times New Roman"/>
          <w:sz w:val="24"/>
          <w:szCs w:val="24"/>
        </w:rPr>
        <w:t xml:space="preserve"> to public funds and the entity’s operations</w:t>
      </w:r>
      <w:r w:rsidR="0077055E">
        <w:rPr>
          <w:rFonts w:ascii="Times New Roman" w:eastAsia="Times New Roman" w:hAnsi="Times New Roman" w:cs="Times New Roman"/>
          <w:sz w:val="24"/>
          <w:szCs w:val="24"/>
        </w:rPr>
        <w:t>:</w:t>
      </w:r>
      <w:r w:rsidR="0032176A">
        <w:rPr>
          <w:rStyle w:val="FootnoteReference"/>
          <w:rFonts w:ascii="Times New Roman" w:eastAsia="Times New Roman" w:hAnsi="Times New Roman" w:cs="Times New Roman"/>
          <w:sz w:val="24"/>
          <w:szCs w:val="24"/>
        </w:rPr>
        <w:footnoteReference w:id="5"/>
      </w:r>
    </w:p>
    <w:p w14:paraId="2BEB6911" w14:textId="309A4D81" w:rsidR="009C283F" w:rsidRPr="009C283F" w:rsidRDefault="009C283F" w:rsidP="006B36DB">
      <w:pPr>
        <w:numPr>
          <w:ilvl w:val="0"/>
          <w:numId w:val="7"/>
        </w:numPr>
        <w:spacing w:after="120" w:line="240" w:lineRule="auto"/>
        <w:jc w:val="both"/>
        <w:rPr>
          <w:rFonts w:ascii="Times New Roman" w:eastAsia="Calibri" w:hAnsi="Times New Roman" w:cs="Times New Roman"/>
          <w:sz w:val="24"/>
          <w:szCs w:val="24"/>
        </w:rPr>
      </w:pPr>
      <w:r w:rsidRPr="009C283F">
        <w:rPr>
          <w:rFonts w:ascii="Times New Roman" w:eastAsia="Calibri" w:hAnsi="Times New Roman" w:cs="Times New Roman"/>
          <w:b/>
          <w:i/>
          <w:sz w:val="24"/>
          <w:szCs w:val="24"/>
        </w:rPr>
        <w:t>Budgeting</w:t>
      </w:r>
      <w:r w:rsidRPr="009C283F">
        <w:rPr>
          <w:rFonts w:ascii="Times New Roman" w:eastAsia="Calibri" w:hAnsi="Times New Roman" w:cs="Times New Roman"/>
          <w:sz w:val="24"/>
          <w:szCs w:val="24"/>
        </w:rPr>
        <w:t>, including preparing, adopting, monitoring, and amending the budget</w:t>
      </w:r>
      <w:r w:rsidR="006609FC">
        <w:rPr>
          <w:rFonts w:ascii="Times New Roman" w:eastAsia="Calibri" w:hAnsi="Times New Roman" w:cs="Times New Roman"/>
          <w:sz w:val="24"/>
          <w:szCs w:val="24"/>
        </w:rPr>
        <w:t>.</w:t>
      </w:r>
    </w:p>
    <w:p w14:paraId="012A8686" w14:textId="0CA47897" w:rsidR="009C283F" w:rsidRPr="009C283F" w:rsidRDefault="009C283F" w:rsidP="006B36DB">
      <w:pPr>
        <w:numPr>
          <w:ilvl w:val="0"/>
          <w:numId w:val="7"/>
        </w:numPr>
        <w:spacing w:after="120" w:line="240" w:lineRule="auto"/>
        <w:jc w:val="both"/>
        <w:rPr>
          <w:rFonts w:ascii="Times New Roman" w:eastAsia="Calibri" w:hAnsi="Times New Roman" w:cs="Times New Roman"/>
          <w:sz w:val="24"/>
          <w:szCs w:val="24"/>
        </w:rPr>
      </w:pPr>
      <w:r w:rsidRPr="009C283F">
        <w:rPr>
          <w:rFonts w:ascii="Times New Roman" w:eastAsia="Calibri" w:hAnsi="Times New Roman" w:cs="Times New Roman"/>
          <w:b/>
          <w:i/>
          <w:sz w:val="24"/>
          <w:szCs w:val="24"/>
        </w:rPr>
        <w:t>Purchasing</w:t>
      </w:r>
      <w:r w:rsidRPr="009C283F">
        <w:rPr>
          <w:rFonts w:ascii="Times New Roman" w:eastAsia="Calibri" w:hAnsi="Times New Roman" w:cs="Times New Roman"/>
          <w:sz w:val="24"/>
          <w:szCs w:val="24"/>
        </w:rPr>
        <w:t xml:space="preserve">, including (1) how purchases are initiated; (2) how vendors are added to the vendor list; (3) the preparation and approval process of purchase requisitions and purchase orders; (4) </w:t>
      </w:r>
      <w:r w:rsidR="003E3850">
        <w:rPr>
          <w:rFonts w:ascii="Times New Roman" w:eastAsia="Calibri" w:hAnsi="Times New Roman" w:cs="Times New Roman"/>
          <w:sz w:val="24"/>
          <w:szCs w:val="24"/>
        </w:rPr>
        <w:t>controls</w:t>
      </w:r>
      <w:r w:rsidRPr="009C283F">
        <w:rPr>
          <w:rFonts w:ascii="Times New Roman" w:eastAsia="Calibri" w:hAnsi="Times New Roman" w:cs="Times New Roman"/>
          <w:sz w:val="24"/>
          <w:szCs w:val="24"/>
        </w:rPr>
        <w:t xml:space="preserve"> to ensure compliance with the </w:t>
      </w:r>
      <w:r w:rsidR="00D73386">
        <w:rPr>
          <w:rFonts w:ascii="Times New Roman" w:eastAsia="Calibri" w:hAnsi="Times New Roman" w:cs="Times New Roman"/>
          <w:sz w:val="24"/>
          <w:szCs w:val="24"/>
        </w:rPr>
        <w:t>P</w:t>
      </w:r>
      <w:r w:rsidRPr="009C283F">
        <w:rPr>
          <w:rFonts w:ascii="Times New Roman" w:eastAsia="Calibri" w:hAnsi="Times New Roman" w:cs="Times New Roman"/>
          <w:sz w:val="24"/>
          <w:szCs w:val="24"/>
        </w:rPr>
        <w:t xml:space="preserve">ublic </w:t>
      </w:r>
      <w:r w:rsidR="00D73386">
        <w:rPr>
          <w:rFonts w:ascii="Times New Roman" w:eastAsia="Calibri" w:hAnsi="Times New Roman" w:cs="Times New Roman"/>
          <w:sz w:val="24"/>
          <w:szCs w:val="24"/>
        </w:rPr>
        <w:t>B</w:t>
      </w:r>
      <w:r w:rsidRPr="009C283F">
        <w:rPr>
          <w:rFonts w:ascii="Times New Roman" w:eastAsia="Calibri" w:hAnsi="Times New Roman" w:cs="Times New Roman"/>
          <w:sz w:val="24"/>
          <w:szCs w:val="24"/>
        </w:rPr>
        <w:t xml:space="preserve">id </w:t>
      </w:r>
      <w:r w:rsidR="00D73386">
        <w:rPr>
          <w:rFonts w:ascii="Times New Roman" w:eastAsia="Calibri" w:hAnsi="Times New Roman" w:cs="Times New Roman"/>
          <w:sz w:val="24"/>
          <w:szCs w:val="24"/>
        </w:rPr>
        <w:t>L</w:t>
      </w:r>
      <w:r w:rsidRPr="009C283F">
        <w:rPr>
          <w:rFonts w:ascii="Times New Roman" w:eastAsia="Calibri" w:hAnsi="Times New Roman" w:cs="Times New Roman"/>
          <w:sz w:val="24"/>
          <w:szCs w:val="24"/>
        </w:rPr>
        <w:t xml:space="preserve">aw; and (5) documentation required to be maintained for all bids and price quotes. </w:t>
      </w:r>
    </w:p>
    <w:p w14:paraId="577771E2" w14:textId="23CDA960" w:rsidR="009C283F" w:rsidRPr="009C283F" w:rsidRDefault="009C283F" w:rsidP="006B36DB">
      <w:pPr>
        <w:numPr>
          <w:ilvl w:val="0"/>
          <w:numId w:val="7"/>
        </w:numPr>
        <w:spacing w:after="120" w:line="240" w:lineRule="auto"/>
        <w:jc w:val="both"/>
        <w:rPr>
          <w:rFonts w:ascii="Times New Roman" w:eastAsia="Calibri" w:hAnsi="Times New Roman" w:cs="Times New Roman"/>
          <w:sz w:val="24"/>
          <w:szCs w:val="24"/>
        </w:rPr>
      </w:pPr>
      <w:r w:rsidRPr="009C283F">
        <w:rPr>
          <w:rFonts w:ascii="Times New Roman" w:eastAsia="Calibri" w:hAnsi="Times New Roman" w:cs="Times New Roman"/>
          <w:b/>
          <w:i/>
          <w:sz w:val="24"/>
          <w:szCs w:val="24"/>
        </w:rPr>
        <w:t>Disbursements</w:t>
      </w:r>
      <w:r w:rsidRPr="009C283F">
        <w:rPr>
          <w:rFonts w:ascii="Times New Roman" w:eastAsia="Calibri" w:hAnsi="Times New Roman" w:cs="Times New Roman"/>
          <w:sz w:val="24"/>
          <w:szCs w:val="24"/>
        </w:rPr>
        <w:t>, including processing, reviewing, and approving</w:t>
      </w:r>
      <w:r w:rsidR="00D73386">
        <w:rPr>
          <w:rFonts w:ascii="Times New Roman" w:eastAsia="Calibri" w:hAnsi="Times New Roman" w:cs="Times New Roman"/>
          <w:sz w:val="24"/>
          <w:szCs w:val="24"/>
        </w:rPr>
        <w:t>.</w:t>
      </w:r>
    </w:p>
    <w:p w14:paraId="1C58D594" w14:textId="3BA31C39" w:rsidR="009C283F" w:rsidRPr="009C283F" w:rsidRDefault="009C283F" w:rsidP="006B36DB">
      <w:pPr>
        <w:numPr>
          <w:ilvl w:val="0"/>
          <w:numId w:val="7"/>
        </w:numPr>
        <w:spacing w:after="120" w:line="240" w:lineRule="auto"/>
        <w:jc w:val="both"/>
        <w:rPr>
          <w:rFonts w:ascii="Times New Roman" w:eastAsia="Calibri" w:hAnsi="Times New Roman" w:cs="Times New Roman"/>
          <w:sz w:val="24"/>
          <w:szCs w:val="24"/>
        </w:rPr>
      </w:pPr>
      <w:r w:rsidRPr="009C283F">
        <w:rPr>
          <w:rFonts w:ascii="Times New Roman" w:eastAsia="Calibri" w:hAnsi="Times New Roman" w:cs="Times New Roman"/>
          <w:b/>
          <w:i/>
          <w:sz w:val="24"/>
          <w:szCs w:val="24"/>
        </w:rPr>
        <w:t>Receipts</w:t>
      </w:r>
      <w:r w:rsidR="007C68EA">
        <w:rPr>
          <w:rFonts w:ascii="Times New Roman" w:eastAsia="Calibri" w:hAnsi="Times New Roman" w:cs="Times New Roman"/>
          <w:b/>
          <w:i/>
          <w:sz w:val="24"/>
          <w:szCs w:val="24"/>
        </w:rPr>
        <w:t>/Collections</w:t>
      </w:r>
      <w:r w:rsidRPr="009C283F">
        <w:rPr>
          <w:rFonts w:ascii="Times New Roman" w:eastAsia="Calibri" w:hAnsi="Times New Roman" w:cs="Times New Roman"/>
          <w:sz w:val="24"/>
          <w:szCs w:val="24"/>
        </w:rPr>
        <w:t>, including receiving, recording, and preparing deposits</w:t>
      </w:r>
      <w:r w:rsidR="007C68EA">
        <w:rPr>
          <w:rFonts w:ascii="Times New Roman" w:eastAsia="Calibri" w:hAnsi="Times New Roman" w:cs="Times New Roman"/>
          <w:sz w:val="24"/>
          <w:szCs w:val="24"/>
        </w:rPr>
        <w:t xml:space="preserve">.  Also, policies and procedures </w:t>
      </w:r>
      <w:r w:rsidR="00FE02E7">
        <w:rPr>
          <w:rFonts w:ascii="Times New Roman" w:eastAsia="Calibri" w:hAnsi="Times New Roman" w:cs="Times New Roman"/>
          <w:sz w:val="24"/>
          <w:szCs w:val="24"/>
        </w:rPr>
        <w:t>should include management’s actions to determine</w:t>
      </w:r>
      <w:r w:rsidR="007C68EA">
        <w:rPr>
          <w:rFonts w:ascii="Times New Roman" w:eastAsia="Calibri" w:hAnsi="Times New Roman" w:cs="Times New Roman"/>
          <w:sz w:val="24"/>
          <w:szCs w:val="24"/>
        </w:rPr>
        <w:t xml:space="preserve"> the completeness of </w:t>
      </w:r>
      <w:r w:rsidR="00FE02E7">
        <w:rPr>
          <w:rFonts w:ascii="Times New Roman" w:eastAsia="Calibri" w:hAnsi="Times New Roman" w:cs="Times New Roman"/>
          <w:sz w:val="24"/>
          <w:szCs w:val="24"/>
        </w:rPr>
        <w:t>all collections</w:t>
      </w:r>
      <w:r w:rsidR="007C68EA">
        <w:rPr>
          <w:rFonts w:ascii="Times New Roman" w:eastAsia="Calibri" w:hAnsi="Times New Roman" w:cs="Times New Roman"/>
          <w:sz w:val="24"/>
          <w:szCs w:val="24"/>
        </w:rPr>
        <w:t xml:space="preserve"> for each </w:t>
      </w:r>
      <w:r w:rsidR="00FE02E7">
        <w:rPr>
          <w:rFonts w:ascii="Times New Roman" w:eastAsia="Calibri" w:hAnsi="Times New Roman" w:cs="Times New Roman"/>
          <w:sz w:val="24"/>
          <w:szCs w:val="24"/>
        </w:rPr>
        <w:t>type of revenue or agency fund</w:t>
      </w:r>
      <w:r w:rsidR="007C68EA">
        <w:rPr>
          <w:rFonts w:ascii="Times New Roman" w:eastAsia="Calibri" w:hAnsi="Times New Roman" w:cs="Times New Roman"/>
          <w:sz w:val="24"/>
          <w:szCs w:val="24"/>
        </w:rPr>
        <w:t xml:space="preserve"> additions (e.g.</w:t>
      </w:r>
      <w:r w:rsidR="00772411">
        <w:rPr>
          <w:rFonts w:ascii="Times New Roman" w:eastAsia="Calibri" w:hAnsi="Times New Roman" w:cs="Times New Roman"/>
          <w:sz w:val="24"/>
          <w:szCs w:val="24"/>
        </w:rPr>
        <w:t>,</w:t>
      </w:r>
      <w:r w:rsidR="007C68EA">
        <w:rPr>
          <w:rFonts w:ascii="Times New Roman" w:eastAsia="Calibri" w:hAnsi="Times New Roman" w:cs="Times New Roman"/>
          <w:sz w:val="24"/>
          <w:szCs w:val="24"/>
        </w:rPr>
        <w:t xml:space="preserve"> </w:t>
      </w:r>
      <w:r w:rsidR="007C68EA" w:rsidRPr="007C68EA">
        <w:rPr>
          <w:rFonts w:ascii="Times New Roman" w:eastAsia="Calibri" w:hAnsi="Times New Roman" w:cs="Times New Roman"/>
          <w:sz w:val="24"/>
          <w:szCs w:val="24"/>
        </w:rPr>
        <w:t>periodic confirmation with outside parties, reconciliation to utility billing after cutoff procedures, reconciliation of traffic ticket number sequences, agency fund forfeiture monies c</w:t>
      </w:r>
      <w:r w:rsidR="00FE02E7">
        <w:rPr>
          <w:rFonts w:ascii="Times New Roman" w:eastAsia="Calibri" w:hAnsi="Times New Roman" w:cs="Times New Roman"/>
          <w:sz w:val="24"/>
          <w:szCs w:val="24"/>
        </w:rPr>
        <w:t>onfirmation).</w:t>
      </w:r>
    </w:p>
    <w:p w14:paraId="170651FB" w14:textId="207818A0" w:rsidR="009C283F" w:rsidRPr="00C36FD3" w:rsidRDefault="009C283F" w:rsidP="006B36DB">
      <w:pPr>
        <w:numPr>
          <w:ilvl w:val="0"/>
          <w:numId w:val="7"/>
        </w:numPr>
        <w:tabs>
          <w:tab w:val="clear" w:pos="720"/>
          <w:tab w:val="num" w:pos="360"/>
        </w:tabs>
        <w:spacing w:after="120" w:line="240" w:lineRule="auto"/>
        <w:jc w:val="both"/>
        <w:rPr>
          <w:rFonts w:ascii="Times New Roman" w:eastAsia="Calibri" w:hAnsi="Times New Roman" w:cs="Times New Roman"/>
          <w:sz w:val="24"/>
          <w:szCs w:val="24"/>
        </w:rPr>
      </w:pPr>
      <w:r w:rsidRPr="009C283F">
        <w:rPr>
          <w:rFonts w:ascii="Times New Roman" w:eastAsia="Calibri" w:hAnsi="Times New Roman" w:cs="Times New Roman"/>
          <w:b/>
          <w:i/>
          <w:sz w:val="24"/>
          <w:szCs w:val="24"/>
        </w:rPr>
        <w:t>Payroll/Personnel</w:t>
      </w:r>
      <w:r w:rsidRPr="009C283F">
        <w:rPr>
          <w:rFonts w:ascii="Times New Roman" w:eastAsia="Calibri" w:hAnsi="Times New Roman" w:cs="Times New Roman"/>
          <w:sz w:val="24"/>
          <w:szCs w:val="24"/>
        </w:rPr>
        <w:t>, including (1) payroll processing, (</w:t>
      </w:r>
      <w:r w:rsidRPr="00C36FD3">
        <w:rPr>
          <w:rFonts w:ascii="Times New Roman" w:eastAsia="Calibri" w:hAnsi="Times New Roman" w:cs="Times New Roman"/>
          <w:sz w:val="24"/>
          <w:szCs w:val="24"/>
        </w:rPr>
        <w:t>2) reviewing and approving time and attendance records, including leave and overtime worked</w:t>
      </w:r>
      <w:r w:rsidR="00425BD7" w:rsidRPr="0096411C">
        <w:rPr>
          <w:rFonts w:ascii="Times New Roman" w:eastAsia="Calibri" w:hAnsi="Times New Roman" w:cs="Times New Roman"/>
          <w:sz w:val="24"/>
          <w:szCs w:val="24"/>
        </w:rPr>
        <w:t>, and (3) approval process for employee(s) rate of pay or approval and maintenance of pay rate schedules</w:t>
      </w:r>
      <w:r w:rsidRPr="00C36FD3">
        <w:rPr>
          <w:rFonts w:ascii="Times New Roman" w:eastAsia="Calibri" w:hAnsi="Times New Roman" w:cs="Times New Roman"/>
          <w:sz w:val="24"/>
          <w:szCs w:val="24"/>
        </w:rPr>
        <w:t>.</w:t>
      </w:r>
    </w:p>
    <w:p w14:paraId="6883BB09" w14:textId="19E7F55B" w:rsidR="009C283F" w:rsidRPr="009C283F" w:rsidRDefault="009C283F" w:rsidP="006B36DB">
      <w:pPr>
        <w:numPr>
          <w:ilvl w:val="0"/>
          <w:numId w:val="7"/>
        </w:numPr>
        <w:spacing w:after="120" w:line="240" w:lineRule="auto"/>
        <w:jc w:val="both"/>
        <w:rPr>
          <w:rFonts w:ascii="Times New Roman" w:eastAsia="Calibri" w:hAnsi="Times New Roman" w:cs="Times New Roman"/>
          <w:sz w:val="24"/>
          <w:szCs w:val="24"/>
        </w:rPr>
      </w:pPr>
      <w:r w:rsidRPr="009C283F">
        <w:rPr>
          <w:rFonts w:ascii="Times New Roman" w:eastAsia="Calibri" w:hAnsi="Times New Roman" w:cs="Times New Roman"/>
          <w:b/>
          <w:i/>
          <w:sz w:val="24"/>
          <w:szCs w:val="24"/>
        </w:rPr>
        <w:t>Contracting</w:t>
      </w:r>
      <w:r w:rsidRPr="009C283F">
        <w:rPr>
          <w:rFonts w:ascii="Times New Roman" w:eastAsia="Calibri" w:hAnsi="Times New Roman" w:cs="Times New Roman"/>
          <w:sz w:val="24"/>
          <w:szCs w:val="24"/>
        </w:rPr>
        <w:t>, including (1) types of services requiring written contracts, (2) standard terms and conditions, (3) legal review, (4) approval process, and (5) monitoring process</w:t>
      </w:r>
      <w:r w:rsidR="00D73386">
        <w:rPr>
          <w:rFonts w:ascii="Times New Roman" w:eastAsia="Calibri" w:hAnsi="Times New Roman" w:cs="Times New Roman"/>
          <w:sz w:val="24"/>
          <w:szCs w:val="24"/>
        </w:rPr>
        <w:t>.</w:t>
      </w:r>
    </w:p>
    <w:p w14:paraId="20AB3298" w14:textId="72BC6731" w:rsidR="009C283F" w:rsidRPr="009C283F" w:rsidRDefault="009C283F" w:rsidP="006B36DB">
      <w:pPr>
        <w:numPr>
          <w:ilvl w:val="0"/>
          <w:numId w:val="7"/>
        </w:numPr>
        <w:spacing w:after="120" w:line="240" w:lineRule="auto"/>
        <w:jc w:val="both"/>
        <w:rPr>
          <w:rFonts w:ascii="Times New Roman" w:eastAsia="Calibri" w:hAnsi="Times New Roman" w:cs="Times New Roman"/>
          <w:sz w:val="24"/>
          <w:szCs w:val="24"/>
        </w:rPr>
      </w:pPr>
      <w:r w:rsidRPr="009C283F">
        <w:rPr>
          <w:rFonts w:ascii="Times New Roman" w:eastAsia="Calibri" w:hAnsi="Times New Roman" w:cs="Times New Roman"/>
          <w:b/>
          <w:i/>
          <w:sz w:val="24"/>
          <w:szCs w:val="24"/>
        </w:rPr>
        <w:t>Credit Cards (and debit cards</w:t>
      </w:r>
      <w:r w:rsidR="00C843F8">
        <w:rPr>
          <w:rFonts w:ascii="Times New Roman" w:eastAsia="Calibri" w:hAnsi="Times New Roman" w:cs="Times New Roman"/>
          <w:b/>
          <w:i/>
          <w:sz w:val="24"/>
          <w:szCs w:val="24"/>
        </w:rPr>
        <w:t>, fuel cards, P-Cards,</w:t>
      </w:r>
      <w:r w:rsidRPr="009C283F">
        <w:rPr>
          <w:rFonts w:ascii="Times New Roman" w:eastAsia="Calibri" w:hAnsi="Times New Roman" w:cs="Times New Roman"/>
          <w:b/>
          <w:i/>
          <w:sz w:val="24"/>
          <w:szCs w:val="24"/>
        </w:rPr>
        <w:t xml:space="preserve"> if applicable)</w:t>
      </w:r>
      <w:r w:rsidRPr="009C283F">
        <w:rPr>
          <w:rFonts w:ascii="Times New Roman" w:eastAsia="Calibri" w:hAnsi="Times New Roman" w:cs="Times New Roman"/>
          <w:sz w:val="24"/>
          <w:szCs w:val="24"/>
        </w:rPr>
        <w:t xml:space="preserve">, including (1) how cards are to be controlled, (2) allowable business uses, (3) documentation requirements, (4) </w:t>
      </w:r>
      <w:r w:rsidRPr="009C283F">
        <w:rPr>
          <w:rFonts w:ascii="Times New Roman" w:eastAsia="Calibri" w:hAnsi="Times New Roman" w:cs="Times New Roman"/>
          <w:sz w:val="24"/>
          <w:szCs w:val="24"/>
        </w:rPr>
        <w:lastRenderedPageBreak/>
        <w:t>required approvers</w:t>
      </w:r>
      <w:r w:rsidR="00913639">
        <w:rPr>
          <w:rFonts w:ascii="Times New Roman" w:eastAsia="Calibri" w:hAnsi="Times New Roman" w:cs="Times New Roman"/>
          <w:sz w:val="24"/>
          <w:szCs w:val="24"/>
        </w:rPr>
        <w:t xml:space="preserve"> of statements</w:t>
      </w:r>
      <w:r w:rsidRPr="009C283F">
        <w:rPr>
          <w:rFonts w:ascii="Times New Roman" w:eastAsia="Calibri" w:hAnsi="Times New Roman" w:cs="Times New Roman"/>
          <w:sz w:val="24"/>
          <w:szCs w:val="24"/>
        </w:rPr>
        <w:t>, and (5) monitoring card usage</w:t>
      </w:r>
      <w:r w:rsidR="003E6921">
        <w:rPr>
          <w:rFonts w:ascii="Times New Roman" w:eastAsia="Calibri" w:hAnsi="Times New Roman" w:cs="Times New Roman"/>
          <w:sz w:val="24"/>
          <w:szCs w:val="24"/>
        </w:rPr>
        <w:t xml:space="preserve"> (e.g., determining the reasonableness of fuel card purchases)</w:t>
      </w:r>
      <w:r w:rsidR="00D73386">
        <w:rPr>
          <w:rFonts w:ascii="Times New Roman" w:eastAsia="Calibri" w:hAnsi="Times New Roman" w:cs="Times New Roman"/>
          <w:sz w:val="24"/>
          <w:szCs w:val="24"/>
        </w:rPr>
        <w:t>.</w:t>
      </w:r>
    </w:p>
    <w:p w14:paraId="62C0C164" w14:textId="4F1DD107" w:rsidR="009C283F" w:rsidRPr="009C283F" w:rsidRDefault="009C283F" w:rsidP="006B36DB">
      <w:pPr>
        <w:numPr>
          <w:ilvl w:val="0"/>
          <w:numId w:val="7"/>
        </w:numPr>
        <w:spacing w:after="120" w:line="240" w:lineRule="auto"/>
        <w:jc w:val="both"/>
        <w:rPr>
          <w:rFonts w:ascii="Times New Roman" w:eastAsia="Calibri" w:hAnsi="Times New Roman" w:cs="Times New Roman"/>
          <w:sz w:val="24"/>
          <w:szCs w:val="24"/>
        </w:rPr>
      </w:pPr>
      <w:r w:rsidRPr="009C283F">
        <w:rPr>
          <w:rFonts w:ascii="Times New Roman" w:eastAsia="Calibri" w:hAnsi="Times New Roman" w:cs="Times New Roman"/>
          <w:b/>
          <w:i/>
          <w:sz w:val="24"/>
          <w:szCs w:val="24"/>
        </w:rPr>
        <w:t xml:space="preserve">Travel and </w:t>
      </w:r>
      <w:r w:rsidR="006609FC">
        <w:rPr>
          <w:rFonts w:ascii="Times New Roman" w:eastAsia="Calibri" w:hAnsi="Times New Roman" w:cs="Times New Roman"/>
          <w:b/>
          <w:i/>
          <w:sz w:val="24"/>
          <w:szCs w:val="24"/>
        </w:rPr>
        <w:t>E</w:t>
      </w:r>
      <w:r w:rsidR="006609FC" w:rsidRPr="009C283F">
        <w:rPr>
          <w:rFonts w:ascii="Times New Roman" w:eastAsia="Calibri" w:hAnsi="Times New Roman" w:cs="Times New Roman"/>
          <w:b/>
          <w:i/>
          <w:sz w:val="24"/>
          <w:szCs w:val="24"/>
        </w:rPr>
        <w:t xml:space="preserve">xpense </w:t>
      </w:r>
      <w:r w:rsidR="006609FC">
        <w:rPr>
          <w:rFonts w:ascii="Times New Roman" w:eastAsia="Calibri" w:hAnsi="Times New Roman" w:cs="Times New Roman"/>
          <w:b/>
          <w:i/>
          <w:sz w:val="24"/>
          <w:szCs w:val="24"/>
        </w:rPr>
        <w:t>R</w:t>
      </w:r>
      <w:r w:rsidR="006609FC" w:rsidRPr="009C283F">
        <w:rPr>
          <w:rFonts w:ascii="Times New Roman" w:eastAsia="Calibri" w:hAnsi="Times New Roman" w:cs="Times New Roman"/>
          <w:b/>
          <w:i/>
          <w:sz w:val="24"/>
          <w:szCs w:val="24"/>
        </w:rPr>
        <w:t>eimbursement</w:t>
      </w:r>
      <w:r w:rsidRPr="009C283F">
        <w:rPr>
          <w:rFonts w:ascii="Times New Roman" w:eastAsia="Calibri" w:hAnsi="Times New Roman" w:cs="Times New Roman"/>
          <w:sz w:val="24"/>
          <w:szCs w:val="24"/>
        </w:rPr>
        <w:t>, including (1) allowable expenses, (2) dollar thresholds by category of expense, (3) documentation requirements, and (4) required approvers</w:t>
      </w:r>
      <w:r w:rsidR="00D73386">
        <w:rPr>
          <w:rFonts w:ascii="Times New Roman" w:eastAsia="Calibri" w:hAnsi="Times New Roman" w:cs="Times New Roman"/>
          <w:sz w:val="24"/>
          <w:szCs w:val="24"/>
        </w:rPr>
        <w:t>.</w:t>
      </w:r>
    </w:p>
    <w:p w14:paraId="17C800CF" w14:textId="078CEF92" w:rsidR="009C283F" w:rsidRDefault="009C283F" w:rsidP="006B36DB">
      <w:pPr>
        <w:numPr>
          <w:ilvl w:val="0"/>
          <w:numId w:val="7"/>
        </w:numPr>
        <w:spacing w:after="120" w:line="240" w:lineRule="auto"/>
        <w:jc w:val="both"/>
        <w:rPr>
          <w:rFonts w:ascii="Times New Roman" w:eastAsia="Calibri" w:hAnsi="Times New Roman" w:cs="Times New Roman"/>
          <w:sz w:val="24"/>
          <w:szCs w:val="24"/>
        </w:rPr>
      </w:pPr>
      <w:r w:rsidRPr="009C283F">
        <w:rPr>
          <w:rFonts w:ascii="Times New Roman" w:eastAsia="Calibri" w:hAnsi="Times New Roman" w:cs="Times New Roman"/>
          <w:b/>
          <w:i/>
          <w:sz w:val="24"/>
          <w:szCs w:val="24"/>
        </w:rPr>
        <w:t>Ethics</w:t>
      </w:r>
      <w:r w:rsidR="00222B99">
        <w:rPr>
          <w:rStyle w:val="FootnoteReference"/>
          <w:rFonts w:ascii="Times New Roman" w:eastAsia="Calibri" w:hAnsi="Times New Roman" w:cs="Times New Roman"/>
          <w:b/>
          <w:i/>
          <w:sz w:val="24"/>
          <w:szCs w:val="24"/>
        </w:rPr>
        <w:footnoteReference w:id="6"/>
      </w:r>
      <w:r w:rsidRPr="009C283F">
        <w:rPr>
          <w:rFonts w:ascii="Times New Roman" w:eastAsia="Calibri" w:hAnsi="Times New Roman" w:cs="Times New Roman"/>
          <w:sz w:val="24"/>
          <w:szCs w:val="24"/>
        </w:rPr>
        <w:t>, including (1) the prohibitions as defined in Louisiana Revised Statute</w:t>
      </w:r>
      <w:r w:rsidR="00665F43">
        <w:rPr>
          <w:rFonts w:ascii="Times New Roman" w:eastAsia="Calibri" w:hAnsi="Times New Roman" w:cs="Times New Roman"/>
          <w:sz w:val="24"/>
          <w:szCs w:val="24"/>
        </w:rPr>
        <w:t xml:space="preserve"> (R.S.)</w:t>
      </w:r>
      <w:r w:rsidRPr="009C283F">
        <w:rPr>
          <w:rFonts w:ascii="Times New Roman" w:eastAsia="Calibri" w:hAnsi="Times New Roman" w:cs="Times New Roman"/>
          <w:sz w:val="24"/>
          <w:szCs w:val="24"/>
        </w:rPr>
        <w:t xml:space="preserve"> 42:1111-1121, (2) actions to be taken if an ethics violation takes place, (3) system to monitor possible ethics violations, and (4) </w:t>
      </w:r>
      <w:r w:rsidR="00425BD7">
        <w:rPr>
          <w:rFonts w:ascii="Times New Roman" w:eastAsia="Calibri" w:hAnsi="Times New Roman" w:cs="Times New Roman"/>
          <w:sz w:val="24"/>
          <w:szCs w:val="24"/>
        </w:rPr>
        <w:t>a requirement that documentation is maintained to demonstrate that all employees and officials were notified of any changes to the entity’s ethics policy</w:t>
      </w:r>
      <w:r w:rsidR="00772411">
        <w:rPr>
          <w:rFonts w:ascii="Times New Roman" w:eastAsia="Calibri" w:hAnsi="Times New Roman" w:cs="Times New Roman"/>
          <w:sz w:val="24"/>
          <w:szCs w:val="24"/>
        </w:rPr>
        <w:t>.</w:t>
      </w:r>
    </w:p>
    <w:p w14:paraId="6ED3B2C1" w14:textId="77777777" w:rsidR="00C843F8" w:rsidRDefault="00C843F8" w:rsidP="006B36DB">
      <w:pPr>
        <w:numPr>
          <w:ilvl w:val="0"/>
          <w:numId w:val="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Debt Service</w:t>
      </w:r>
      <w:r w:rsidRPr="00C843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including (1) debt issuance approval, (2) </w:t>
      </w:r>
      <w:r w:rsidR="00856BAF">
        <w:rPr>
          <w:rFonts w:ascii="Times New Roman" w:eastAsia="Calibri" w:hAnsi="Times New Roman" w:cs="Times New Roman"/>
          <w:sz w:val="24"/>
          <w:szCs w:val="24"/>
        </w:rPr>
        <w:t>continuing disclosure/</w:t>
      </w:r>
      <w:r>
        <w:rPr>
          <w:rFonts w:ascii="Times New Roman" w:eastAsia="Calibri" w:hAnsi="Times New Roman" w:cs="Times New Roman"/>
          <w:sz w:val="24"/>
          <w:szCs w:val="24"/>
        </w:rPr>
        <w:t>EMMA reporting requirements, (3) debt reserve requirements, and (4) debt service requirements.</w:t>
      </w:r>
    </w:p>
    <w:p w14:paraId="4A7D80BC" w14:textId="77777777" w:rsidR="00CC4092" w:rsidRDefault="002F2339" w:rsidP="006B36DB">
      <w:pPr>
        <w:numPr>
          <w:ilvl w:val="0"/>
          <w:numId w:val="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Information Technology </w:t>
      </w:r>
      <w:r w:rsidR="00CC4092">
        <w:rPr>
          <w:rFonts w:ascii="Times New Roman" w:eastAsia="Calibri" w:hAnsi="Times New Roman" w:cs="Times New Roman"/>
          <w:b/>
          <w:i/>
          <w:sz w:val="24"/>
          <w:szCs w:val="24"/>
        </w:rPr>
        <w:t>Disaster Recovery/Business Continuity</w:t>
      </w:r>
      <w:r w:rsidR="00CC4092" w:rsidRPr="00CC4092">
        <w:rPr>
          <w:rFonts w:ascii="Times New Roman" w:eastAsia="Calibri" w:hAnsi="Times New Roman" w:cs="Times New Roman"/>
          <w:sz w:val="24"/>
          <w:szCs w:val="24"/>
        </w:rPr>
        <w:t>, including</w:t>
      </w:r>
      <w:r w:rsidR="00CC4092">
        <w:rPr>
          <w:rFonts w:ascii="Times New Roman" w:eastAsia="Calibri" w:hAnsi="Times New Roman" w:cs="Times New Roman"/>
          <w:sz w:val="24"/>
          <w:szCs w:val="24"/>
        </w:rPr>
        <w:t xml:space="preserve"> (1) identification of critical data and frequency of data backups, (2) storage of backups in a separate physical location isolated from the network, (3) periodic testing/verification that backups can be restored, (4) use of antivirus software on all systems</w:t>
      </w:r>
      <w:r w:rsidR="00764876">
        <w:rPr>
          <w:rFonts w:ascii="Times New Roman" w:eastAsia="Calibri" w:hAnsi="Times New Roman" w:cs="Times New Roman"/>
          <w:sz w:val="24"/>
          <w:szCs w:val="24"/>
        </w:rPr>
        <w:t>, (5) timely application of all available system and software patches/updates, and (6) identification of personnel, processes, and tools needed to recover operations after a critical event.</w:t>
      </w:r>
    </w:p>
    <w:p w14:paraId="4BC0986B" w14:textId="17767B24" w:rsidR="00665F43" w:rsidRPr="009C283F" w:rsidRDefault="00665F43" w:rsidP="006B36DB">
      <w:pPr>
        <w:numPr>
          <w:ilvl w:val="0"/>
          <w:numId w:val="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Sexual Harassment</w:t>
      </w:r>
      <w:r w:rsidRPr="00665F43">
        <w:rPr>
          <w:rFonts w:ascii="Times New Roman" w:eastAsia="Calibri" w:hAnsi="Times New Roman" w:cs="Times New Roman"/>
          <w:sz w:val="24"/>
          <w:szCs w:val="24"/>
        </w:rPr>
        <w:t>, including</w:t>
      </w:r>
      <w:r>
        <w:rPr>
          <w:rFonts w:ascii="Times New Roman" w:eastAsia="Calibri" w:hAnsi="Times New Roman" w:cs="Times New Roman"/>
          <w:sz w:val="24"/>
          <w:szCs w:val="24"/>
        </w:rPr>
        <w:t xml:space="preserve"> R.S. 42:342-344 requirements for (1) agency responsibilities and prohibitions, (2) annual employee training, and (3) annual reporting</w:t>
      </w:r>
      <w:r w:rsidR="00D73386">
        <w:rPr>
          <w:rFonts w:ascii="Times New Roman" w:eastAsia="Calibri" w:hAnsi="Times New Roman" w:cs="Times New Roman"/>
          <w:sz w:val="24"/>
          <w:szCs w:val="24"/>
        </w:rPr>
        <w:t>.</w:t>
      </w:r>
    </w:p>
    <w:p w14:paraId="36A41ED5" w14:textId="77777777" w:rsidR="007D679A" w:rsidRDefault="007D679A" w:rsidP="009C283F">
      <w:pPr>
        <w:spacing w:after="0" w:line="240" w:lineRule="auto"/>
        <w:jc w:val="both"/>
        <w:rPr>
          <w:rFonts w:ascii="Times New Roman" w:eastAsia="Times New Roman" w:hAnsi="Times New Roman" w:cs="Times New Roman"/>
          <w:b/>
          <w:i/>
          <w:sz w:val="20"/>
          <w:szCs w:val="20"/>
        </w:rPr>
      </w:pPr>
    </w:p>
    <w:p w14:paraId="513FA2AD" w14:textId="77777777" w:rsidR="009C283F" w:rsidRPr="009C283F" w:rsidRDefault="009C283F" w:rsidP="009C283F">
      <w:pPr>
        <w:pBdr>
          <w:bottom w:val="single" w:sz="4" w:space="1" w:color="auto"/>
        </w:pBdr>
        <w:spacing w:after="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Board</w:t>
      </w:r>
      <w:r w:rsidR="00BE3050">
        <w:rPr>
          <w:rFonts w:ascii="Times New Roman" w:eastAsia="Calibri" w:hAnsi="Times New Roman" w:cs="Times New Roman"/>
          <w:b/>
          <w:i/>
          <w:sz w:val="24"/>
          <w:szCs w:val="24"/>
        </w:rPr>
        <w:t xml:space="preserve"> or Finance Committee</w:t>
      </w:r>
      <w:r w:rsidR="00EE1BCA">
        <w:rPr>
          <w:rStyle w:val="FootnoteReference"/>
          <w:rFonts w:ascii="Times New Roman" w:eastAsia="Calibri" w:hAnsi="Times New Roman" w:cs="Times New Roman"/>
          <w:b/>
          <w:i/>
          <w:sz w:val="24"/>
          <w:szCs w:val="24"/>
        </w:rPr>
        <w:footnoteReference w:id="7"/>
      </w:r>
    </w:p>
    <w:p w14:paraId="1150A3C3" w14:textId="77777777" w:rsidR="009C283F" w:rsidRPr="009C283F" w:rsidRDefault="009C283F" w:rsidP="009C283F">
      <w:pPr>
        <w:spacing w:after="0"/>
        <w:jc w:val="both"/>
        <w:rPr>
          <w:rFonts w:ascii="Times New Roman" w:eastAsia="Calibri" w:hAnsi="Times New Roman" w:cs="Times New Roman"/>
          <w:sz w:val="24"/>
          <w:szCs w:val="24"/>
        </w:rPr>
      </w:pPr>
    </w:p>
    <w:p w14:paraId="5DA72C4E" w14:textId="77777777" w:rsidR="00536990" w:rsidRDefault="00536990" w:rsidP="00C471F1">
      <w:pPr>
        <w:numPr>
          <w:ilvl w:val="0"/>
          <w:numId w:val="8"/>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Obtain</w:t>
      </w:r>
      <w:r w:rsidR="00C843F8">
        <w:rPr>
          <w:rFonts w:ascii="Times New Roman" w:eastAsia="Calibri" w:hAnsi="Times New Roman" w:cs="Times New Roman"/>
          <w:sz w:val="24"/>
          <w:szCs w:val="24"/>
        </w:rPr>
        <w:t xml:space="preserve"> and </w:t>
      </w:r>
      <w:r w:rsidR="006C5933">
        <w:rPr>
          <w:rFonts w:ascii="Times New Roman" w:eastAsia="Calibri" w:hAnsi="Times New Roman" w:cs="Times New Roman"/>
          <w:sz w:val="24"/>
          <w:szCs w:val="24"/>
        </w:rPr>
        <w:t xml:space="preserve">inspect </w:t>
      </w:r>
      <w:r w:rsidR="00C843F8">
        <w:rPr>
          <w:rFonts w:ascii="Times New Roman" w:eastAsia="Calibri" w:hAnsi="Times New Roman" w:cs="Times New Roman"/>
          <w:sz w:val="24"/>
          <w:szCs w:val="24"/>
        </w:rPr>
        <w:t>the</w:t>
      </w:r>
      <w:r>
        <w:rPr>
          <w:rFonts w:ascii="Times New Roman" w:eastAsia="Calibri" w:hAnsi="Times New Roman" w:cs="Times New Roman"/>
          <w:sz w:val="24"/>
          <w:szCs w:val="24"/>
        </w:rPr>
        <w:t xml:space="preserve"> board</w:t>
      </w:r>
      <w:r w:rsidR="00C843F8">
        <w:rPr>
          <w:rFonts w:ascii="Times New Roman" w:eastAsia="Calibri" w:hAnsi="Times New Roman" w:cs="Times New Roman"/>
          <w:sz w:val="24"/>
          <w:szCs w:val="24"/>
        </w:rPr>
        <w:t>/</w:t>
      </w:r>
      <w:r w:rsidR="00EB05AB">
        <w:rPr>
          <w:rFonts w:ascii="Times New Roman" w:eastAsia="Calibri" w:hAnsi="Times New Roman" w:cs="Times New Roman"/>
          <w:sz w:val="24"/>
          <w:szCs w:val="24"/>
        </w:rPr>
        <w:t xml:space="preserve">finance </w:t>
      </w:r>
      <w:r w:rsidR="00C843F8">
        <w:rPr>
          <w:rFonts w:ascii="Times New Roman" w:eastAsia="Calibri" w:hAnsi="Times New Roman" w:cs="Times New Roman"/>
          <w:sz w:val="24"/>
          <w:szCs w:val="24"/>
        </w:rPr>
        <w:t>committee</w:t>
      </w:r>
      <w:r>
        <w:rPr>
          <w:rFonts w:ascii="Times New Roman" w:eastAsia="Calibri" w:hAnsi="Times New Roman" w:cs="Times New Roman"/>
          <w:sz w:val="24"/>
          <w:szCs w:val="24"/>
        </w:rPr>
        <w:t xml:space="preserve"> minutes for the fiscal </w:t>
      </w:r>
      <w:r w:rsidR="00EE2DB4">
        <w:rPr>
          <w:rFonts w:ascii="Times New Roman" w:eastAsia="Calibri" w:hAnsi="Times New Roman" w:cs="Times New Roman"/>
          <w:sz w:val="24"/>
          <w:szCs w:val="24"/>
        </w:rPr>
        <w:t>period</w:t>
      </w:r>
      <w:r w:rsidR="00A577A3">
        <w:rPr>
          <w:rFonts w:ascii="Times New Roman" w:eastAsia="Calibri" w:hAnsi="Times New Roman" w:cs="Times New Roman"/>
          <w:sz w:val="24"/>
          <w:szCs w:val="24"/>
        </w:rPr>
        <w:t>, as well as the board’s enabling legislation, charter, bylaws, or equivalent document in effect during the fiscal period</w:t>
      </w:r>
      <w:r w:rsidR="00C843F8">
        <w:rPr>
          <w:rFonts w:ascii="Times New Roman" w:eastAsia="Calibri" w:hAnsi="Times New Roman" w:cs="Times New Roman"/>
          <w:sz w:val="24"/>
          <w:szCs w:val="24"/>
        </w:rPr>
        <w:t>, and:</w:t>
      </w:r>
    </w:p>
    <w:p w14:paraId="715B9C93" w14:textId="135F91B9" w:rsidR="009C283F" w:rsidRPr="00C77FDD" w:rsidRDefault="00E97756" w:rsidP="00C843F8">
      <w:pPr>
        <w:numPr>
          <w:ilvl w:val="0"/>
          <w:numId w:val="26"/>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Observe</w:t>
      </w:r>
      <w:r w:rsidR="00AD2DBE">
        <w:rPr>
          <w:rFonts w:ascii="Times New Roman" w:eastAsia="Calibri" w:hAnsi="Times New Roman" w:cs="Times New Roman"/>
          <w:sz w:val="24"/>
          <w:szCs w:val="24"/>
        </w:rPr>
        <w:t xml:space="preserve"> </w:t>
      </w:r>
      <w:r w:rsidR="000A1511">
        <w:rPr>
          <w:rFonts w:ascii="Times New Roman" w:eastAsia="Calibri" w:hAnsi="Times New Roman" w:cs="Times New Roman"/>
          <w:sz w:val="24"/>
          <w:szCs w:val="24"/>
        </w:rPr>
        <w:t>that</w:t>
      </w:r>
      <w:r w:rsidR="009C283F" w:rsidRPr="00C77FDD">
        <w:rPr>
          <w:rFonts w:ascii="Times New Roman" w:eastAsia="Calibri" w:hAnsi="Times New Roman" w:cs="Times New Roman"/>
          <w:sz w:val="24"/>
          <w:szCs w:val="24"/>
        </w:rPr>
        <w:t xml:space="preserve"> the board</w:t>
      </w:r>
      <w:r w:rsidR="00EB05AB">
        <w:rPr>
          <w:rFonts w:ascii="Times New Roman" w:eastAsia="Calibri" w:hAnsi="Times New Roman" w:cs="Times New Roman"/>
          <w:sz w:val="24"/>
          <w:szCs w:val="24"/>
        </w:rPr>
        <w:t>/finance committee</w:t>
      </w:r>
      <w:r w:rsidR="009C283F" w:rsidRPr="00C77FDD">
        <w:rPr>
          <w:rFonts w:ascii="Times New Roman" w:eastAsia="Calibri" w:hAnsi="Times New Roman" w:cs="Times New Roman"/>
          <w:sz w:val="24"/>
          <w:szCs w:val="24"/>
        </w:rPr>
        <w:t xml:space="preserve"> </w:t>
      </w:r>
      <w:r w:rsidR="00373282">
        <w:rPr>
          <w:rFonts w:ascii="Times New Roman" w:eastAsia="Calibri" w:hAnsi="Times New Roman" w:cs="Times New Roman"/>
          <w:sz w:val="24"/>
          <w:szCs w:val="24"/>
        </w:rPr>
        <w:t>met</w:t>
      </w:r>
      <w:r w:rsidR="00B9239E">
        <w:rPr>
          <w:rFonts w:ascii="Times New Roman" w:eastAsia="Calibri" w:hAnsi="Times New Roman" w:cs="Times New Roman"/>
          <w:sz w:val="24"/>
          <w:szCs w:val="24"/>
        </w:rPr>
        <w:t xml:space="preserve"> with a quorum</w:t>
      </w:r>
      <w:r w:rsidR="009C283F" w:rsidRPr="00C77FDD">
        <w:rPr>
          <w:rFonts w:ascii="Times New Roman" w:eastAsia="Calibri" w:hAnsi="Times New Roman" w:cs="Times New Roman"/>
          <w:sz w:val="24"/>
          <w:szCs w:val="24"/>
        </w:rPr>
        <w:t xml:space="preserve"> at least monthly</w:t>
      </w:r>
      <w:r w:rsidR="00C77FDD" w:rsidRPr="00C77FDD">
        <w:rPr>
          <w:rFonts w:ascii="Times New Roman" w:eastAsia="Calibri" w:hAnsi="Times New Roman" w:cs="Times New Roman"/>
          <w:sz w:val="24"/>
          <w:szCs w:val="24"/>
        </w:rPr>
        <w:t>, or on a frequency in accordance with the board’s enabling legislation, charter</w:t>
      </w:r>
      <w:r w:rsidR="00A577A3">
        <w:rPr>
          <w:rFonts w:ascii="Times New Roman" w:eastAsia="Calibri" w:hAnsi="Times New Roman" w:cs="Times New Roman"/>
          <w:sz w:val="24"/>
          <w:szCs w:val="24"/>
        </w:rPr>
        <w:t>, bylaws</w:t>
      </w:r>
      <w:r w:rsidR="00C77FDD" w:rsidRPr="00C77FDD">
        <w:rPr>
          <w:rFonts w:ascii="Times New Roman" w:eastAsia="Calibri" w:hAnsi="Times New Roman" w:cs="Times New Roman"/>
          <w:sz w:val="24"/>
          <w:szCs w:val="24"/>
        </w:rPr>
        <w:t xml:space="preserve">, or other </w:t>
      </w:r>
      <w:r w:rsidR="00DC0947">
        <w:rPr>
          <w:rFonts w:ascii="Times New Roman" w:eastAsia="Calibri" w:hAnsi="Times New Roman" w:cs="Times New Roman"/>
          <w:sz w:val="24"/>
          <w:szCs w:val="24"/>
        </w:rPr>
        <w:t>equivalent</w:t>
      </w:r>
      <w:r w:rsidR="00C77FDD" w:rsidRPr="00C77FDD">
        <w:rPr>
          <w:rFonts w:ascii="Times New Roman" w:eastAsia="Calibri" w:hAnsi="Times New Roman" w:cs="Times New Roman"/>
          <w:sz w:val="24"/>
          <w:szCs w:val="24"/>
        </w:rPr>
        <w:t xml:space="preserve"> document</w:t>
      </w:r>
      <w:r w:rsidR="009C283F" w:rsidRPr="00C77FDD">
        <w:rPr>
          <w:rFonts w:ascii="Times New Roman" w:eastAsia="Calibri" w:hAnsi="Times New Roman" w:cs="Times New Roman"/>
          <w:sz w:val="24"/>
          <w:szCs w:val="24"/>
        </w:rPr>
        <w:t>.</w:t>
      </w:r>
    </w:p>
    <w:p w14:paraId="6292B759" w14:textId="6C4A5C5D" w:rsidR="002F78E5" w:rsidRPr="00C36FD3" w:rsidRDefault="00DE40F0" w:rsidP="00C843F8">
      <w:pPr>
        <w:numPr>
          <w:ilvl w:val="0"/>
          <w:numId w:val="26"/>
        </w:numPr>
        <w:spacing w:after="120" w:line="240" w:lineRule="auto"/>
        <w:jc w:val="both"/>
        <w:rPr>
          <w:rFonts w:ascii="Times New Roman" w:eastAsia="Calibri" w:hAnsi="Times New Roman" w:cs="Times New Roman"/>
          <w:sz w:val="24"/>
          <w:szCs w:val="24"/>
        </w:rPr>
      </w:pPr>
      <w:r w:rsidRPr="00C36FD3">
        <w:rPr>
          <w:rFonts w:ascii="Times New Roman" w:eastAsia="Calibri" w:hAnsi="Times New Roman" w:cs="Times New Roman"/>
          <w:sz w:val="24"/>
          <w:szCs w:val="24"/>
        </w:rPr>
        <w:t xml:space="preserve">For those entities reporting </w:t>
      </w:r>
      <w:r w:rsidR="002F78E5" w:rsidRPr="00C36FD3">
        <w:rPr>
          <w:rFonts w:ascii="Times New Roman" w:eastAsia="Calibri" w:hAnsi="Times New Roman" w:cs="Times New Roman"/>
          <w:sz w:val="24"/>
          <w:szCs w:val="24"/>
        </w:rPr>
        <w:t xml:space="preserve">on the governmental </w:t>
      </w:r>
      <w:r w:rsidR="00803D26" w:rsidRPr="00C36FD3">
        <w:rPr>
          <w:rFonts w:ascii="Times New Roman" w:eastAsia="Calibri" w:hAnsi="Times New Roman" w:cs="Times New Roman"/>
          <w:sz w:val="24"/>
          <w:szCs w:val="24"/>
        </w:rPr>
        <w:t xml:space="preserve">accounting </w:t>
      </w:r>
      <w:r w:rsidR="002F78E5" w:rsidRPr="00C36FD3">
        <w:rPr>
          <w:rFonts w:ascii="Times New Roman" w:eastAsia="Calibri" w:hAnsi="Times New Roman" w:cs="Times New Roman"/>
          <w:sz w:val="24"/>
          <w:szCs w:val="24"/>
        </w:rPr>
        <w:t xml:space="preserve">model, </w:t>
      </w:r>
      <w:r w:rsidR="00E97756" w:rsidRPr="00C36FD3">
        <w:rPr>
          <w:rFonts w:ascii="Times New Roman" w:eastAsia="Calibri" w:hAnsi="Times New Roman" w:cs="Times New Roman"/>
          <w:sz w:val="24"/>
          <w:szCs w:val="24"/>
        </w:rPr>
        <w:t>observe</w:t>
      </w:r>
      <w:r w:rsidR="00BF6D10">
        <w:rPr>
          <w:rFonts w:ascii="Times New Roman" w:eastAsia="Calibri" w:hAnsi="Times New Roman" w:cs="Times New Roman"/>
          <w:sz w:val="24"/>
          <w:szCs w:val="24"/>
        </w:rPr>
        <w:t xml:space="preserve"> </w:t>
      </w:r>
      <w:r w:rsidR="00233A26">
        <w:rPr>
          <w:rFonts w:ascii="Times New Roman" w:eastAsia="Calibri" w:hAnsi="Times New Roman" w:cs="Times New Roman"/>
          <w:sz w:val="24"/>
          <w:szCs w:val="24"/>
        </w:rPr>
        <w:t>whether</w:t>
      </w:r>
      <w:r w:rsidR="00373282" w:rsidRPr="00C36FD3">
        <w:rPr>
          <w:rFonts w:ascii="Times New Roman" w:eastAsia="Calibri" w:hAnsi="Times New Roman" w:cs="Times New Roman"/>
          <w:sz w:val="24"/>
          <w:szCs w:val="24"/>
        </w:rPr>
        <w:t xml:space="preserve"> t</w:t>
      </w:r>
      <w:r w:rsidR="00AD2DBE" w:rsidRPr="00C36FD3">
        <w:rPr>
          <w:rFonts w:ascii="Times New Roman" w:eastAsia="Calibri" w:hAnsi="Times New Roman" w:cs="Times New Roman"/>
          <w:sz w:val="24"/>
          <w:szCs w:val="24"/>
        </w:rPr>
        <w:t xml:space="preserve">he </w:t>
      </w:r>
      <w:r w:rsidR="00C77FDD" w:rsidRPr="00C36FD3">
        <w:rPr>
          <w:rFonts w:ascii="Times New Roman" w:eastAsia="Calibri" w:hAnsi="Times New Roman" w:cs="Times New Roman"/>
          <w:sz w:val="24"/>
          <w:szCs w:val="24"/>
        </w:rPr>
        <w:t xml:space="preserve">minutes </w:t>
      </w:r>
      <w:r w:rsidR="00AD2DBE" w:rsidRPr="00C36FD3">
        <w:rPr>
          <w:rFonts w:ascii="Times New Roman" w:eastAsia="Calibri" w:hAnsi="Times New Roman" w:cs="Times New Roman"/>
          <w:sz w:val="24"/>
          <w:szCs w:val="24"/>
        </w:rPr>
        <w:t>reference</w:t>
      </w:r>
      <w:r w:rsidR="00373282" w:rsidRPr="00C36FD3">
        <w:rPr>
          <w:rFonts w:ascii="Times New Roman" w:eastAsia="Calibri" w:hAnsi="Times New Roman" w:cs="Times New Roman"/>
          <w:sz w:val="24"/>
          <w:szCs w:val="24"/>
        </w:rPr>
        <w:t>d</w:t>
      </w:r>
      <w:r w:rsidR="003E3850" w:rsidRPr="00C36FD3">
        <w:rPr>
          <w:rFonts w:ascii="Times New Roman" w:eastAsia="Calibri" w:hAnsi="Times New Roman" w:cs="Times New Roman"/>
          <w:sz w:val="24"/>
          <w:szCs w:val="24"/>
        </w:rPr>
        <w:t xml:space="preserve"> or </w:t>
      </w:r>
      <w:r w:rsidR="00AD2DBE" w:rsidRPr="00C36FD3">
        <w:rPr>
          <w:rFonts w:ascii="Times New Roman" w:eastAsia="Calibri" w:hAnsi="Times New Roman" w:cs="Times New Roman"/>
          <w:sz w:val="24"/>
          <w:szCs w:val="24"/>
        </w:rPr>
        <w:t>include</w:t>
      </w:r>
      <w:r w:rsidR="00373282" w:rsidRPr="00C36FD3">
        <w:rPr>
          <w:rFonts w:ascii="Times New Roman" w:eastAsia="Calibri" w:hAnsi="Times New Roman" w:cs="Times New Roman"/>
          <w:sz w:val="24"/>
          <w:szCs w:val="24"/>
        </w:rPr>
        <w:t>d</w:t>
      </w:r>
      <w:r w:rsidR="00C77FDD" w:rsidRPr="00C36FD3">
        <w:rPr>
          <w:rFonts w:ascii="Times New Roman" w:eastAsia="Calibri" w:hAnsi="Times New Roman" w:cs="Times New Roman"/>
          <w:sz w:val="24"/>
          <w:szCs w:val="24"/>
        </w:rPr>
        <w:t xml:space="preserve"> monthly budget-to-actual comparisons on </w:t>
      </w:r>
      <w:r w:rsidR="00222B99" w:rsidRPr="00C36FD3">
        <w:rPr>
          <w:rFonts w:ascii="Times New Roman" w:eastAsia="Calibri" w:hAnsi="Times New Roman" w:cs="Times New Roman"/>
          <w:sz w:val="24"/>
          <w:szCs w:val="24"/>
        </w:rPr>
        <w:t>the general fund</w:t>
      </w:r>
      <w:r w:rsidR="004B5821">
        <w:rPr>
          <w:rFonts w:ascii="Times New Roman" w:eastAsia="Calibri" w:hAnsi="Times New Roman" w:cs="Times New Roman"/>
          <w:sz w:val="24"/>
          <w:szCs w:val="24"/>
        </w:rPr>
        <w:t>,</w:t>
      </w:r>
      <w:r w:rsidR="00222B99" w:rsidRPr="00C36FD3">
        <w:rPr>
          <w:rFonts w:ascii="Times New Roman" w:eastAsia="Calibri" w:hAnsi="Times New Roman" w:cs="Times New Roman"/>
          <w:sz w:val="24"/>
          <w:szCs w:val="24"/>
        </w:rPr>
        <w:t xml:space="preserve"> </w:t>
      </w:r>
      <w:r w:rsidR="00425BD7" w:rsidRPr="0096411C">
        <w:rPr>
          <w:rFonts w:ascii="Times New Roman" w:eastAsia="Calibri" w:hAnsi="Times New Roman" w:cs="Times New Roman"/>
          <w:sz w:val="24"/>
          <w:szCs w:val="24"/>
        </w:rPr>
        <w:t>quarterly budget-to-actual, at a minimum, on proprietary funds</w:t>
      </w:r>
      <w:r w:rsidR="00425BD7" w:rsidRPr="0096411C">
        <w:rPr>
          <w:rStyle w:val="FootnoteReference"/>
          <w:rFonts w:ascii="Times New Roman" w:eastAsia="Calibri" w:hAnsi="Times New Roman" w:cs="Times New Roman"/>
          <w:sz w:val="24"/>
          <w:szCs w:val="24"/>
        </w:rPr>
        <w:footnoteReference w:id="8"/>
      </w:r>
      <w:r w:rsidR="00425BD7" w:rsidRPr="0096411C">
        <w:rPr>
          <w:rFonts w:ascii="Times New Roman" w:eastAsia="Calibri" w:hAnsi="Times New Roman" w:cs="Times New Roman"/>
          <w:sz w:val="24"/>
          <w:szCs w:val="24"/>
        </w:rPr>
        <w:t xml:space="preserve">, and semi-annual budget- </w:t>
      </w:r>
      <w:r w:rsidR="00425BD7" w:rsidRPr="0096411C">
        <w:rPr>
          <w:rFonts w:ascii="Times New Roman" w:eastAsia="Calibri" w:hAnsi="Times New Roman" w:cs="Times New Roman"/>
          <w:sz w:val="24"/>
          <w:szCs w:val="24"/>
        </w:rPr>
        <w:lastRenderedPageBreak/>
        <w:t>to-actual, at a minimum, on all special revenue funds</w:t>
      </w:r>
      <w:r w:rsidR="00425BD7" w:rsidRPr="0096411C">
        <w:rPr>
          <w:rFonts w:ascii="Times New Roman" w:eastAsia="Calibri" w:hAnsi="Times New Roman" w:cs="Times New Roman"/>
          <w:sz w:val="24"/>
          <w:szCs w:val="24"/>
          <w:vertAlign w:val="superscript"/>
        </w:rPr>
        <w:t>7</w:t>
      </w:r>
      <w:r w:rsidR="0077055E" w:rsidRPr="00C36FD3">
        <w:rPr>
          <w:rFonts w:ascii="Times New Roman" w:eastAsia="Calibri" w:hAnsi="Times New Roman" w:cs="Times New Roman"/>
          <w:sz w:val="24"/>
          <w:szCs w:val="24"/>
        </w:rPr>
        <w:t>.</w:t>
      </w:r>
      <w:r w:rsidR="00425BD7" w:rsidRPr="00C36FD3">
        <w:rPr>
          <w:rStyle w:val="FootnoteReference"/>
          <w:rFonts w:ascii="Times New Roman" w:eastAsia="Calibri" w:hAnsi="Times New Roman" w:cs="Times New Roman"/>
          <w:sz w:val="24"/>
          <w:szCs w:val="24"/>
        </w:rPr>
        <w:t xml:space="preserve"> </w:t>
      </w:r>
      <w:r w:rsidR="0077055E" w:rsidRPr="00C36FD3">
        <w:rPr>
          <w:rFonts w:ascii="Times New Roman" w:eastAsia="Calibri" w:hAnsi="Times New Roman" w:cs="Times New Roman"/>
          <w:i/>
          <w:sz w:val="24"/>
          <w:szCs w:val="24"/>
        </w:rPr>
        <w:t>Alternately, f</w:t>
      </w:r>
      <w:r w:rsidR="002F78E5" w:rsidRPr="00C36FD3">
        <w:rPr>
          <w:rFonts w:ascii="Times New Roman" w:eastAsia="Calibri" w:hAnsi="Times New Roman" w:cs="Times New Roman"/>
          <w:i/>
          <w:sz w:val="24"/>
          <w:szCs w:val="24"/>
        </w:rPr>
        <w:t xml:space="preserve">or those entities reporting on the nonprofit </w:t>
      </w:r>
      <w:r w:rsidR="000C4DF8" w:rsidRPr="00C36FD3">
        <w:rPr>
          <w:rFonts w:ascii="Times New Roman" w:eastAsia="Calibri" w:hAnsi="Times New Roman" w:cs="Times New Roman"/>
          <w:i/>
          <w:sz w:val="24"/>
          <w:szCs w:val="24"/>
        </w:rPr>
        <w:t xml:space="preserve">accounting </w:t>
      </w:r>
      <w:r w:rsidR="002F78E5" w:rsidRPr="00C36FD3">
        <w:rPr>
          <w:rFonts w:ascii="Times New Roman" w:eastAsia="Calibri" w:hAnsi="Times New Roman" w:cs="Times New Roman"/>
          <w:i/>
          <w:sz w:val="24"/>
          <w:szCs w:val="24"/>
        </w:rPr>
        <w:t xml:space="preserve">model, </w:t>
      </w:r>
      <w:r w:rsidR="0077055E" w:rsidRPr="00C36FD3">
        <w:rPr>
          <w:rFonts w:ascii="Times New Roman" w:eastAsia="Calibri" w:hAnsi="Times New Roman" w:cs="Times New Roman"/>
          <w:i/>
          <w:sz w:val="24"/>
          <w:szCs w:val="24"/>
        </w:rPr>
        <w:t xml:space="preserve">observe that </w:t>
      </w:r>
      <w:r w:rsidR="002F78E5" w:rsidRPr="00C36FD3">
        <w:rPr>
          <w:rFonts w:ascii="Times New Roman" w:eastAsia="Calibri" w:hAnsi="Times New Roman" w:cs="Times New Roman"/>
          <w:i/>
          <w:sz w:val="24"/>
          <w:szCs w:val="24"/>
        </w:rPr>
        <w:t xml:space="preserve">the minutes referenced or included </w:t>
      </w:r>
      <w:r w:rsidR="001914FA" w:rsidRPr="00C36FD3">
        <w:rPr>
          <w:rFonts w:ascii="Times New Roman" w:eastAsia="Calibri" w:hAnsi="Times New Roman" w:cs="Times New Roman"/>
          <w:i/>
          <w:sz w:val="24"/>
          <w:szCs w:val="24"/>
        </w:rPr>
        <w:t>financial activity relating to</w:t>
      </w:r>
      <w:r w:rsidR="002F78E5" w:rsidRPr="00C36FD3">
        <w:rPr>
          <w:rFonts w:ascii="Times New Roman" w:eastAsia="Calibri" w:hAnsi="Times New Roman" w:cs="Times New Roman"/>
          <w:i/>
          <w:sz w:val="24"/>
          <w:szCs w:val="24"/>
        </w:rPr>
        <w:t xml:space="preserve"> </w:t>
      </w:r>
      <w:r w:rsidR="00425BD7" w:rsidRPr="00C36FD3">
        <w:rPr>
          <w:rFonts w:ascii="Times New Roman" w:eastAsia="Calibri" w:hAnsi="Times New Roman" w:cs="Times New Roman"/>
          <w:i/>
          <w:sz w:val="24"/>
          <w:szCs w:val="24"/>
        </w:rPr>
        <w:t>public funds</w:t>
      </w:r>
      <w:r w:rsidR="00425BD7" w:rsidRPr="00C36FD3">
        <w:rPr>
          <w:rStyle w:val="FootnoteReference"/>
          <w:rFonts w:ascii="Times New Roman" w:eastAsia="Calibri" w:hAnsi="Times New Roman" w:cs="Times New Roman"/>
          <w:i/>
          <w:sz w:val="24"/>
          <w:szCs w:val="24"/>
        </w:rPr>
        <w:footnoteReference w:id="9"/>
      </w:r>
      <w:r w:rsidR="00425BD7" w:rsidRPr="00C36FD3">
        <w:rPr>
          <w:rFonts w:ascii="Times New Roman" w:eastAsia="Calibri" w:hAnsi="Times New Roman" w:cs="Times New Roman"/>
          <w:i/>
          <w:sz w:val="24"/>
          <w:szCs w:val="24"/>
        </w:rPr>
        <w:t xml:space="preserve"> </w:t>
      </w:r>
      <w:r w:rsidR="00EB05AB" w:rsidRPr="00C36FD3">
        <w:rPr>
          <w:rFonts w:ascii="Times New Roman" w:eastAsia="Calibri" w:hAnsi="Times New Roman" w:cs="Times New Roman"/>
          <w:i/>
          <w:sz w:val="24"/>
          <w:szCs w:val="24"/>
        </w:rPr>
        <w:t>if those public funds comprised more than 10% of the entity’s collections during the fiscal period</w:t>
      </w:r>
      <w:r w:rsidR="002F78E5" w:rsidRPr="00C36FD3">
        <w:rPr>
          <w:rFonts w:ascii="Times New Roman" w:eastAsia="Calibri" w:hAnsi="Times New Roman" w:cs="Times New Roman"/>
          <w:i/>
          <w:sz w:val="24"/>
          <w:szCs w:val="24"/>
        </w:rPr>
        <w:t>.</w:t>
      </w:r>
    </w:p>
    <w:p w14:paraId="3190CC97" w14:textId="77777777" w:rsidR="00803D26" w:rsidRPr="00803D26" w:rsidRDefault="0047710F" w:rsidP="00C843F8">
      <w:pPr>
        <w:numPr>
          <w:ilvl w:val="0"/>
          <w:numId w:val="26"/>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For governmental entities</w:t>
      </w:r>
      <w:r w:rsidR="0057097A">
        <w:rPr>
          <w:rFonts w:ascii="Times New Roman" w:eastAsia="Calibri" w:hAnsi="Times New Roman" w:cs="Times New Roman"/>
          <w:sz w:val="24"/>
          <w:szCs w:val="24"/>
        </w:rPr>
        <w:t>, obtain the prior year audit report and observe the un</w:t>
      </w:r>
      <w:r w:rsidR="00D624B1">
        <w:rPr>
          <w:rFonts w:ascii="Times New Roman" w:eastAsia="Calibri" w:hAnsi="Times New Roman" w:cs="Times New Roman"/>
          <w:sz w:val="24"/>
          <w:szCs w:val="24"/>
        </w:rPr>
        <w:t>assigned</w:t>
      </w:r>
      <w:r w:rsidR="0057097A">
        <w:rPr>
          <w:rFonts w:ascii="Times New Roman" w:eastAsia="Calibri" w:hAnsi="Times New Roman" w:cs="Times New Roman"/>
          <w:sz w:val="24"/>
          <w:szCs w:val="24"/>
        </w:rPr>
        <w:t xml:space="preserve"> fund balance in the general fund.  If the general fund</w:t>
      </w:r>
      <w:r>
        <w:rPr>
          <w:rFonts w:ascii="Times New Roman" w:eastAsia="Calibri" w:hAnsi="Times New Roman" w:cs="Times New Roman"/>
          <w:sz w:val="24"/>
          <w:szCs w:val="24"/>
        </w:rPr>
        <w:t xml:space="preserve"> had a negative </w:t>
      </w:r>
      <w:r w:rsidR="00D624B1">
        <w:rPr>
          <w:rFonts w:ascii="Times New Roman" w:eastAsia="Calibri" w:hAnsi="Times New Roman" w:cs="Times New Roman"/>
          <w:sz w:val="24"/>
          <w:szCs w:val="24"/>
        </w:rPr>
        <w:t>ending unassigned</w:t>
      </w:r>
      <w:r w:rsidR="0057097A">
        <w:rPr>
          <w:rFonts w:ascii="Times New Roman" w:eastAsia="Calibri" w:hAnsi="Times New Roman" w:cs="Times New Roman"/>
          <w:sz w:val="24"/>
          <w:szCs w:val="24"/>
        </w:rPr>
        <w:t xml:space="preserve"> </w:t>
      </w:r>
      <w:r>
        <w:rPr>
          <w:rFonts w:ascii="Times New Roman" w:eastAsia="Calibri" w:hAnsi="Times New Roman" w:cs="Times New Roman"/>
          <w:sz w:val="24"/>
          <w:szCs w:val="24"/>
        </w:rPr>
        <w:t>fund balance</w:t>
      </w:r>
      <w:r w:rsidR="0057097A">
        <w:rPr>
          <w:rFonts w:ascii="Times New Roman" w:eastAsia="Calibri" w:hAnsi="Times New Roman" w:cs="Times New Roman"/>
          <w:sz w:val="24"/>
          <w:szCs w:val="24"/>
        </w:rPr>
        <w:t xml:space="preserve"> in the prior year audit report, observe that the minutes for at least one meeting during the fiscal period referenced or included a formal plan to eliminate the negative un</w:t>
      </w:r>
      <w:r w:rsidR="00D624B1">
        <w:rPr>
          <w:rFonts w:ascii="Times New Roman" w:eastAsia="Calibri" w:hAnsi="Times New Roman" w:cs="Times New Roman"/>
          <w:sz w:val="24"/>
          <w:szCs w:val="24"/>
        </w:rPr>
        <w:t>assigned</w:t>
      </w:r>
      <w:r w:rsidR="0057097A">
        <w:rPr>
          <w:rFonts w:ascii="Times New Roman" w:eastAsia="Calibri" w:hAnsi="Times New Roman" w:cs="Times New Roman"/>
          <w:sz w:val="24"/>
          <w:szCs w:val="24"/>
        </w:rPr>
        <w:t xml:space="preserve"> fund balance in the general fund.</w:t>
      </w:r>
    </w:p>
    <w:p w14:paraId="1B058EFB" w14:textId="77777777" w:rsidR="001C40B6" w:rsidRPr="009C283F" w:rsidRDefault="001C40B6" w:rsidP="009C283F">
      <w:pPr>
        <w:spacing w:after="0" w:line="240" w:lineRule="auto"/>
        <w:jc w:val="both"/>
        <w:rPr>
          <w:rFonts w:ascii="Times New Roman" w:eastAsia="Times New Roman" w:hAnsi="Times New Roman" w:cs="Times New Roman"/>
          <w:b/>
          <w:i/>
          <w:sz w:val="24"/>
          <w:szCs w:val="24"/>
        </w:rPr>
      </w:pPr>
    </w:p>
    <w:p w14:paraId="3F4AE9A8" w14:textId="77777777" w:rsidR="00823086" w:rsidRPr="009C283F" w:rsidRDefault="00871A80" w:rsidP="00823086">
      <w:pPr>
        <w:pBdr>
          <w:bottom w:val="single" w:sz="4" w:space="1" w:color="auto"/>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Bank</w:t>
      </w:r>
      <w:r w:rsidR="00953B4A">
        <w:rPr>
          <w:rFonts w:ascii="Times New Roman" w:eastAsia="Times New Roman" w:hAnsi="Times New Roman" w:cs="Times New Roman"/>
          <w:b/>
          <w:i/>
          <w:color w:val="000000"/>
          <w:sz w:val="24"/>
          <w:szCs w:val="24"/>
        </w:rPr>
        <w:t xml:space="preserve"> Reconciliation</w:t>
      </w:r>
      <w:r>
        <w:rPr>
          <w:rFonts w:ascii="Times New Roman" w:eastAsia="Times New Roman" w:hAnsi="Times New Roman" w:cs="Times New Roman"/>
          <w:b/>
          <w:i/>
          <w:color w:val="000000"/>
          <w:sz w:val="24"/>
          <w:szCs w:val="24"/>
        </w:rPr>
        <w:t>s</w:t>
      </w:r>
    </w:p>
    <w:p w14:paraId="37F2ADE5" w14:textId="77777777" w:rsidR="00823086" w:rsidRPr="009C283F" w:rsidRDefault="00823086" w:rsidP="00823086">
      <w:pPr>
        <w:spacing w:after="0" w:line="240" w:lineRule="auto"/>
        <w:rPr>
          <w:rFonts w:ascii="Times New Roman" w:eastAsia="Times New Roman" w:hAnsi="Times New Roman" w:cs="Times New Roman"/>
          <w:b/>
          <w:i/>
          <w:sz w:val="24"/>
          <w:szCs w:val="24"/>
        </w:rPr>
      </w:pPr>
    </w:p>
    <w:p w14:paraId="7405F830" w14:textId="366D8A08" w:rsidR="00953B4A" w:rsidRPr="004E6A3D" w:rsidRDefault="00850DE4" w:rsidP="006B36DB">
      <w:pPr>
        <w:numPr>
          <w:ilvl w:val="0"/>
          <w:numId w:val="11"/>
        </w:numPr>
        <w:spacing w:after="120" w:line="240" w:lineRule="auto"/>
        <w:jc w:val="both"/>
        <w:rPr>
          <w:rFonts w:ascii="Times New Roman" w:eastAsia="Calibri" w:hAnsi="Times New Roman" w:cs="Times New Roman"/>
          <w:sz w:val="24"/>
          <w:szCs w:val="24"/>
        </w:rPr>
      </w:pPr>
      <w:r w:rsidRPr="004E6A3D">
        <w:rPr>
          <w:rFonts w:ascii="Times New Roman" w:eastAsia="Calibri" w:hAnsi="Times New Roman" w:cs="Times New Roman"/>
          <w:sz w:val="24"/>
          <w:szCs w:val="24"/>
        </w:rPr>
        <w:t xml:space="preserve">Obtain a listing of </w:t>
      </w:r>
      <w:r w:rsidR="006B5E7F">
        <w:rPr>
          <w:rFonts w:ascii="Times New Roman" w:eastAsia="Calibri" w:hAnsi="Times New Roman" w:cs="Times New Roman"/>
          <w:sz w:val="24"/>
          <w:szCs w:val="24"/>
        </w:rPr>
        <w:t>entity</w:t>
      </w:r>
      <w:r w:rsidR="006B5E7F" w:rsidRPr="004E6A3D">
        <w:rPr>
          <w:rFonts w:ascii="Times New Roman" w:eastAsia="Calibri" w:hAnsi="Times New Roman" w:cs="Times New Roman"/>
          <w:sz w:val="24"/>
          <w:szCs w:val="24"/>
        </w:rPr>
        <w:t xml:space="preserve"> </w:t>
      </w:r>
      <w:r w:rsidRPr="004E6A3D">
        <w:rPr>
          <w:rFonts w:ascii="Times New Roman" w:eastAsia="Calibri" w:hAnsi="Times New Roman" w:cs="Times New Roman"/>
          <w:sz w:val="24"/>
          <w:szCs w:val="24"/>
        </w:rPr>
        <w:t>bank accounts</w:t>
      </w:r>
      <w:r w:rsidR="00A577A3">
        <w:rPr>
          <w:rFonts w:ascii="Times New Roman" w:eastAsia="Calibri" w:hAnsi="Times New Roman" w:cs="Times New Roman"/>
          <w:sz w:val="24"/>
          <w:szCs w:val="24"/>
        </w:rPr>
        <w:t xml:space="preserve"> for the fiscal period</w:t>
      </w:r>
      <w:r w:rsidR="00EE4A2D" w:rsidRPr="004E6A3D">
        <w:rPr>
          <w:rFonts w:ascii="Times New Roman" w:eastAsia="Calibri" w:hAnsi="Times New Roman" w:cs="Times New Roman"/>
          <w:sz w:val="24"/>
          <w:szCs w:val="24"/>
        </w:rPr>
        <w:t xml:space="preserve"> from management and </w:t>
      </w:r>
      <w:r w:rsidRPr="004E6A3D">
        <w:rPr>
          <w:rFonts w:ascii="Times New Roman" w:eastAsia="Calibri" w:hAnsi="Times New Roman" w:cs="Times New Roman"/>
          <w:sz w:val="24"/>
          <w:szCs w:val="24"/>
        </w:rPr>
        <w:t>management’s representation that the listing is complete.</w:t>
      </w:r>
      <w:r w:rsidR="005A0DAC" w:rsidRPr="004E6A3D">
        <w:rPr>
          <w:rFonts w:ascii="Times New Roman" w:eastAsia="Calibri" w:hAnsi="Times New Roman" w:cs="Times New Roman"/>
          <w:sz w:val="24"/>
          <w:szCs w:val="24"/>
        </w:rPr>
        <w:t xml:space="preserve">  Ask management to identify </w:t>
      </w:r>
      <w:r w:rsidR="006A3E06" w:rsidRPr="004E6A3D">
        <w:rPr>
          <w:rFonts w:ascii="Times New Roman" w:eastAsia="Calibri" w:hAnsi="Times New Roman" w:cs="Times New Roman"/>
          <w:sz w:val="24"/>
          <w:szCs w:val="24"/>
        </w:rPr>
        <w:t>the entity’s</w:t>
      </w:r>
      <w:r w:rsidR="005A0DAC" w:rsidRPr="004E6A3D">
        <w:rPr>
          <w:rFonts w:ascii="Times New Roman" w:eastAsia="Calibri" w:hAnsi="Times New Roman" w:cs="Times New Roman"/>
          <w:sz w:val="24"/>
          <w:szCs w:val="24"/>
        </w:rPr>
        <w:t xml:space="preserve"> main operating account.</w:t>
      </w:r>
      <w:r w:rsidR="004E6A3D" w:rsidRPr="004E6A3D">
        <w:rPr>
          <w:rFonts w:ascii="Times New Roman" w:eastAsia="Calibri" w:hAnsi="Times New Roman" w:cs="Times New Roman"/>
          <w:sz w:val="24"/>
          <w:szCs w:val="24"/>
        </w:rPr>
        <w:t xml:space="preserve">  </w:t>
      </w:r>
      <w:r w:rsidR="004E6A3D">
        <w:rPr>
          <w:rFonts w:ascii="Times New Roman" w:eastAsia="Calibri" w:hAnsi="Times New Roman" w:cs="Times New Roman"/>
          <w:sz w:val="24"/>
          <w:szCs w:val="24"/>
        </w:rPr>
        <w:t>S</w:t>
      </w:r>
      <w:r w:rsidR="004E6A3D" w:rsidRPr="004E6A3D">
        <w:rPr>
          <w:rFonts w:ascii="Times New Roman" w:eastAsia="Calibri" w:hAnsi="Times New Roman" w:cs="Times New Roman"/>
          <w:sz w:val="24"/>
          <w:szCs w:val="24"/>
        </w:rPr>
        <w:t>e</w:t>
      </w:r>
      <w:r w:rsidR="005A0DAC" w:rsidRPr="004E6A3D">
        <w:rPr>
          <w:rFonts w:ascii="Times New Roman" w:eastAsia="Calibri" w:hAnsi="Times New Roman" w:cs="Times New Roman"/>
          <w:sz w:val="24"/>
          <w:szCs w:val="24"/>
        </w:rPr>
        <w:t>lect the entity’s main</w:t>
      </w:r>
      <w:r w:rsidR="006A3E06" w:rsidRPr="004E6A3D">
        <w:rPr>
          <w:rFonts w:ascii="Times New Roman" w:eastAsia="Calibri" w:hAnsi="Times New Roman" w:cs="Times New Roman"/>
          <w:sz w:val="24"/>
          <w:szCs w:val="24"/>
        </w:rPr>
        <w:t xml:space="preserve"> operating account and randomly </w:t>
      </w:r>
      <w:r w:rsidR="005A0DAC" w:rsidRPr="004E6A3D">
        <w:rPr>
          <w:rFonts w:ascii="Times New Roman" w:eastAsia="Calibri" w:hAnsi="Times New Roman" w:cs="Times New Roman"/>
          <w:sz w:val="24"/>
          <w:szCs w:val="24"/>
        </w:rPr>
        <w:t>select 4 additional accounts</w:t>
      </w:r>
      <w:r w:rsidR="00AB76D8">
        <w:rPr>
          <w:rStyle w:val="FootnoteReference"/>
          <w:rFonts w:ascii="Times New Roman" w:eastAsia="Calibri" w:hAnsi="Times New Roman" w:cs="Times New Roman"/>
          <w:sz w:val="24"/>
          <w:szCs w:val="24"/>
        </w:rPr>
        <w:footnoteReference w:id="10"/>
      </w:r>
      <w:r w:rsidR="000A1511" w:rsidRPr="004E6A3D">
        <w:rPr>
          <w:rFonts w:ascii="Times New Roman" w:eastAsia="Calibri" w:hAnsi="Times New Roman" w:cs="Times New Roman"/>
          <w:sz w:val="24"/>
          <w:szCs w:val="24"/>
        </w:rPr>
        <w:t xml:space="preserve"> (or all accounts if less than 5)</w:t>
      </w:r>
      <w:r w:rsidR="005A0DAC" w:rsidRPr="004E6A3D">
        <w:rPr>
          <w:rFonts w:ascii="Times New Roman" w:eastAsia="Calibri" w:hAnsi="Times New Roman" w:cs="Times New Roman"/>
          <w:sz w:val="24"/>
          <w:szCs w:val="24"/>
        </w:rPr>
        <w:t>.</w:t>
      </w:r>
      <w:r w:rsidR="00B25468" w:rsidRPr="004E6A3D">
        <w:rPr>
          <w:rFonts w:ascii="Times New Roman" w:eastAsia="Calibri" w:hAnsi="Times New Roman" w:cs="Times New Roman"/>
          <w:sz w:val="24"/>
          <w:szCs w:val="24"/>
        </w:rPr>
        <w:t xml:space="preserve">  </w:t>
      </w:r>
      <w:r w:rsidR="00AC28EE" w:rsidRPr="004E6A3D">
        <w:rPr>
          <w:rFonts w:ascii="Times New Roman" w:eastAsia="Calibri" w:hAnsi="Times New Roman" w:cs="Times New Roman"/>
          <w:sz w:val="24"/>
          <w:szCs w:val="24"/>
        </w:rPr>
        <w:t xml:space="preserve">Randomly select one month from the fiscal period, </w:t>
      </w:r>
      <w:r w:rsidR="00723263" w:rsidRPr="004E6A3D">
        <w:rPr>
          <w:rFonts w:ascii="Times New Roman" w:eastAsia="Calibri" w:hAnsi="Times New Roman" w:cs="Times New Roman"/>
          <w:sz w:val="24"/>
          <w:szCs w:val="24"/>
        </w:rPr>
        <w:t>obtain</w:t>
      </w:r>
      <w:r w:rsidR="000A1511" w:rsidRPr="004E6A3D">
        <w:rPr>
          <w:rFonts w:ascii="Times New Roman" w:eastAsia="Calibri" w:hAnsi="Times New Roman" w:cs="Times New Roman"/>
          <w:sz w:val="24"/>
          <w:szCs w:val="24"/>
        </w:rPr>
        <w:t xml:space="preserve"> and inspect</w:t>
      </w:r>
      <w:r w:rsidR="00723263" w:rsidRPr="004E6A3D">
        <w:rPr>
          <w:rFonts w:ascii="Times New Roman" w:eastAsia="Calibri" w:hAnsi="Times New Roman" w:cs="Times New Roman"/>
          <w:sz w:val="24"/>
          <w:szCs w:val="24"/>
        </w:rPr>
        <w:t xml:space="preserve"> </w:t>
      </w:r>
      <w:r w:rsidR="00AC28EE" w:rsidRPr="004E6A3D">
        <w:rPr>
          <w:rFonts w:ascii="Times New Roman" w:eastAsia="Calibri" w:hAnsi="Times New Roman" w:cs="Times New Roman"/>
          <w:sz w:val="24"/>
          <w:szCs w:val="24"/>
        </w:rPr>
        <w:t xml:space="preserve">the corresponding </w:t>
      </w:r>
      <w:r w:rsidR="00723263" w:rsidRPr="004E6A3D">
        <w:rPr>
          <w:rFonts w:ascii="Times New Roman" w:eastAsia="Calibri" w:hAnsi="Times New Roman" w:cs="Times New Roman"/>
          <w:sz w:val="24"/>
          <w:szCs w:val="24"/>
        </w:rPr>
        <w:t xml:space="preserve">bank </w:t>
      </w:r>
      <w:r w:rsidR="000A1511" w:rsidRPr="004E6A3D">
        <w:rPr>
          <w:rFonts w:ascii="Times New Roman" w:eastAsia="Calibri" w:hAnsi="Times New Roman" w:cs="Times New Roman"/>
          <w:sz w:val="24"/>
          <w:szCs w:val="24"/>
        </w:rPr>
        <w:t>statement</w:t>
      </w:r>
      <w:r w:rsidR="00507A31" w:rsidRPr="004E6A3D">
        <w:rPr>
          <w:rFonts w:ascii="Times New Roman" w:eastAsia="Calibri" w:hAnsi="Times New Roman" w:cs="Times New Roman"/>
          <w:sz w:val="24"/>
          <w:szCs w:val="24"/>
        </w:rPr>
        <w:t xml:space="preserve"> and </w:t>
      </w:r>
      <w:r w:rsidR="000A1511" w:rsidRPr="004E6A3D">
        <w:rPr>
          <w:rFonts w:ascii="Times New Roman" w:eastAsia="Calibri" w:hAnsi="Times New Roman" w:cs="Times New Roman"/>
          <w:sz w:val="24"/>
          <w:szCs w:val="24"/>
        </w:rPr>
        <w:t xml:space="preserve">reconciliation for </w:t>
      </w:r>
      <w:r w:rsidR="009973D4">
        <w:rPr>
          <w:rFonts w:ascii="Times New Roman" w:eastAsia="Calibri" w:hAnsi="Times New Roman" w:cs="Times New Roman"/>
          <w:sz w:val="24"/>
          <w:szCs w:val="24"/>
        </w:rPr>
        <w:t xml:space="preserve">each </w:t>
      </w:r>
      <w:r w:rsidR="002F67DF">
        <w:rPr>
          <w:rFonts w:ascii="Times New Roman" w:eastAsia="Calibri" w:hAnsi="Times New Roman" w:cs="Times New Roman"/>
          <w:sz w:val="24"/>
          <w:szCs w:val="24"/>
        </w:rPr>
        <w:t xml:space="preserve">selected </w:t>
      </w:r>
      <w:r w:rsidR="000A1511" w:rsidRPr="004E6A3D">
        <w:rPr>
          <w:rFonts w:ascii="Times New Roman" w:eastAsia="Calibri" w:hAnsi="Times New Roman" w:cs="Times New Roman"/>
          <w:sz w:val="24"/>
          <w:szCs w:val="24"/>
        </w:rPr>
        <w:t>account</w:t>
      </w:r>
      <w:r w:rsidR="00AC28EE" w:rsidRPr="004E6A3D">
        <w:rPr>
          <w:rFonts w:ascii="Times New Roman" w:eastAsia="Calibri" w:hAnsi="Times New Roman" w:cs="Times New Roman"/>
          <w:sz w:val="24"/>
          <w:szCs w:val="24"/>
        </w:rPr>
        <w:t>,</w:t>
      </w:r>
      <w:r w:rsidR="00723263" w:rsidRPr="004E6A3D">
        <w:rPr>
          <w:rFonts w:ascii="Times New Roman" w:eastAsia="Calibri" w:hAnsi="Times New Roman" w:cs="Times New Roman"/>
          <w:sz w:val="24"/>
          <w:szCs w:val="24"/>
        </w:rPr>
        <w:t xml:space="preserve"> and </w:t>
      </w:r>
      <w:r w:rsidR="006225CB" w:rsidRPr="004E6A3D">
        <w:rPr>
          <w:rFonts w:ascii="Times New Roman" w:eastAsia="Calibri" w:hAnsi="Times New Roman" w:cs="Times New Roman"/>
          <w:sz w:val="24"/>
          <w:szCs w:val="24"/>
        </w:rPr>
        <w:t>observe</w:t>
      </w:r>
      <w:r w:rsidR="00860407" w:rsidRPr="004E6A3D">
        <w:rPr>
          <w:rFonts w:ascii="Times New Roman" w:eastAsia="Calibri" w:hAnsi="Times New Roman" w:cs="Times New Roman"/>
          <w:sz w:val="24"/>
          <w:szCs w:val="24"/>
        </w:rPr>
        <w:t xml:space="preserve"> </w:t>
      </w:r>
      <w:r w:rsidR="006225CB" w:rsidRPr="004E6A3D">
        <w:rPr>
          <w:rFonts w:ascii="Times New Roman" w:eastAsia="Calibri" w:hAnsi="Times New Roman" w:cs="Times New Roman"/>
          <w:sz w:val="24"/>
          <w:szCs w:val="24"/>
        </w:rPr>
        <w:t>that</w:t>
      </w:r>
      <w:r w:rsidR="00953B4A" w:rsidRPr="004E6A3D">
        <w:rPr>
          <w:rFonts w:ascii="Times New Roman" w:eastAsia="Calibri" w:hAnsi="Times New Roman" w:cs="Times New Roman"/>
          <w:sz w:val="24"/>
          <w:szCs w:val="24"/>
        </w:rPr>
        <w:t>:</w:t>
      </w:r>
    </w:p>
    <w:p w14:paraId="240F4D03" w14:textId="6B94D935" w:rsidR="00953B4A" w:rsidRDefault="00B54979" w:rsidP="006B36DB">
      <w:pPr>
        <w:pStyle w:val="ListParagraph"/>
        <w:numPr>
          <w:ilvl w:val="0"/>
          <w:numId w:val="9"/>
        </w:numPr>
        <w:tabs>
          <w:tab w:val="num" w:pos="720"/>
        </w:tabs>
        <w:spacing w:after="120"/>
        <w:ind w:left="720"/>
        <w:contextualSpacing w:val="0"/>
        <w:jc w:val="both"/>
        <w:rPr>
          <w:rFonts w:eastAsia="Calibri"/>
          <w:szCs w:val="24"/>
        </w:rPr>
      </w:pPr>
      <w:r>
        <w:rPr>
          <w:rFonts w:eastAsia="Calibri"/>
          <w:szCs w:val="24"/>
        </w:rPr>
        <w:t>B</w:t>
      </w:r>
      <w:r w:rsidR="007B760F">
        <w:rPr>
          <w:rFonts w:eastAsia="Calibri"/>
          <w:szCs w:val="24"/>
        </w:rPr>
        <w:t xml:space="preserve">ank reconciliations </w:t>
      </w:r>
      <w:r w:rsidR="006225CB">
        <w:rPr>
          <w:rFonts w:eastAsia="Calibri"/>
          <w:szCs w:val="24"/>
        </w:rPr>
        <w:t xml:space="preserve">include evidence that they </w:t>
      </w:r>
      <w:r w:rsidR="007B760F">
        <w:rPr>
          <w:rFonts w:eastAsia="Calibri"/>
          <w:szCs w:val="24"/>
        </w:rPr>
        <w:t>were</w:t>
      </w:r>
      <w:r w:rsidR="00823086" w:rsidRPr="009C283F">
        <w:rPr>
          <w:rFonts w:eastAsia="Calibri"/>
          <w:szCs w:val="24"/>
        </w:rPr>
        <w:t xml:space="preserve"> prepared</w:t>
      </w:r>
      <w:r w:rsidR="00AC28EE">
        <w:rPr>
          <w:rFonts w:eastAsia="Calibri"/>
          <w:szCs w:val="24"/>
        </w:rPr>
        <w:t xml:space="preserve"> within 2 months of the </w:t>
      </w:r>
      <w:r w:rsidR="006225CB">
        <w:rPr>
          <w:rFonts w:eastAsia="Calibri"/>
          <w:szCs w:val="24"/>
        </w:rPr>
        <w:t xml:space="preserve">related </w:t>
      </w:r>
      <w:r w:rsidR="00AC28EE">
        <w:rPr>
          <w:rFonts w:eastAsia="Calibri"/>
          <w:szCs w:val="24"/>
        </w:rPr>
        <w:t>statement closing date</w:t>
      </w:r>
      <w:r w:rsidR="00032942">
        <w:rPr>
          <w:rFonts w:eastAsia="Calibri"/>
          <w:szCs w:val="24"/>
        </w:rPr>
        <w:t xml:space="preserve"> (e.g.,</w:t>
      </w:r>
      <w:r w:rsidR="006225CB">
        <w:rPr>
          <w:rFonts w:eastAsia="Calibri"/>
          <w:szCs w:val="24"/>
        </w:rPr>
        <w:t xml:space="preserve"> initialed and dated</w:t>
      </w:r>
      <w:r w:rsidR="00425BD7">
        <w:rPr>
          <w:rFonts w:eastAsia="Calibri"/>
          <w:szCs w:val="24"/>
        </w:rPr>
        <w:t xml:space="preserve"> or </w:t>
      </w:r>
      <w:r w:rsidR="00032942">
        <w:rPr>
          <w:rFonts w:eastAsia="Calibri"/>
          <w:szCs w:val="24"/>
        </w:rPr>
        <w:t>electronically logged</w:t>
      </w:r>
      <w:r w:rsidR="006225CB">
        <w:rPr>
          <w:rFonts w:eastAsia="Calibri"/>
          <w:szCs w:val="24"/>
        </w:rPr>
        <w:t>);</w:t>
      </w:r>
    </w:p>
    <w:p w14:paraId="7A0A446D" w14:textId="77777777" w:rsidR="0009149A" w:rsidRDefault="0009149A" w:rsidP="006B36DB">
      <w:pPr>
        <w:pStyle w:val="ListParagraph"/>
        <w:numPr>
          <w:ilvl w:val="0"/>
          <w:numId w:val="9"/>
        </w:numPr>
        <w:tabs>
          <w:tab w:val="num" w:pos="720"/>
        </w:tabs>
        <w:spacing w:after="120"/>
        <w:ind w:left="720"/>
        <w:contextualSpacing w:val="0"/>
        <w:jc w:val="both"/>
        <w:rPr>
          <w:rFonts w:eastAsia="Calibri"/>
          <w:szCs w:val="24"/>
        </w:rPr>
      </w:pPr>
      <w:r>
        <w:rPr>
          <w:rFonts w:eastAsia="Calibri"/>
          <w:szCs w:val="24"/>
        </w:rPr>
        <w:t xml:space="preserve">Bank reconciliations include evidence that </w:t>
      </w:r>
      <w:r w:rsidR="00EE1B82">
        <w:rPr>
          <w:rFonts w:eastAsia="Calibri"/>
          <w:szCs w:val="24"/>
        </w:rPr>
        <w:t xml:space="preserve">a member of </w:t>
      </w:r>
      <w:r>
        <w:rPr>
          <w:rFonts w:eastAsia="Calibri"/>
          <w:szCs w:val="24"/>
        </w:rPr>
        <w:t>management</w:t>
      </w:r>
      <w:r w:rsidR="00B67BC1">
        <w:rPr>
          <w:rFonts w:eastAsia="Calibri"/>
          <w:szCs w:val="24"/>
        </w:rPr>
        <w:t>/</w:t>
      </w:r>
      <w:r>
        <w:rPr>
          <w:rFonts w:eastAsia="Calibri"/>
          <w:szCs w:val="24"/>
        </w:rPr>
        <w:t>board member</w:t>
      </w:r>
      <w:r w:rsidR="00507A31">
        <w:rPr>
          <w:rFonts w:eastAsia="Calibri"/>
          <w:szCs w:val="24"/>
        </w:rPr>
        <w:t xml:space="preserve"> </w:t>
      </w:r>
      <w:r w:rsidR="00507A31" w:rsidRPr="006225CB">
        <w:rPr>
          <w:rFonts w:eastAsia="Calibri"/>
          <w:szCs w:val="24"/>
        </w:rPr>
        <w:t>w</w:t>
      </w:r>
      <w:r w:rsidR="00B67BC1">
        <w:rPr>
          <w:rFonts w:eastAsia="Calibri"/>
          <w:szCs w:val="24"/>
        </w:rPr>
        <w:t>ho does not handle cash, post ledgers, or issue checks</w:t>
      </w:r>
      <w:r w:rsidR="00507A31">
        <w:rPr>
          <w:rFonts w:eastAsia="Calibri"/>
          <w:szCs w:val="24"/>
        </w:rPr>
        <w:t xml:space="preserve"> has re</w:t>
      </w:r>
      <w:r w:rsidR="00EE1B82">
        <w:rPr>
          <w:rFonts w:eastAsia="Calibri"/>
          <w:szCs w:val="24"/>
        </w:rPr>
        <w:t>viewed each bank reconciliation</w:t>
      </w:r>
      <w:r w:rsidR="00503E23">
        <w:rPr>
          <w:rFonts w:eastAsia="Calibri"/>
          <w:szCs w:val="24"/>
        </w:rPr>
        <w:t xml:space="preserve"> (e.g.,</w:t>
      </w:r>
      <w:r w:rsidR="006225CB">
        <w:rPr>
          <w:rFonts w:eastAsia="Calibri"/>
          <w:szCs w:val="24"/>
        </w:rPr>
        <w:t xml:space="preserve"> initialed and dated</w:t>
      </w:r>
      <w:r w:rsidR="00503E23">
        <w:rPr>
          <w:rFonts w:eastAsia="Calibri"/>
          <w:szCs w:val="24"/>
        </w:rPr>
        <w:t>, electronically logged</w:t>
      </w:r>
      <w:r w:rsidR="006225CB">
        <w:rPr>
          <w:rFonts w:eastAsia="Calibri"/>
          <w:szCs w:val="24"/>
        </w:rPr>
        <w:t>)</w:t>
      </w:r>
      <w:r w:rsidR="00EE1B82">
        <w:rPr>
          <w:rFonts w:eastAsia="Calibri"/>
          <w:szCs w:val="24"/>
        </w:rPr>
        <w:t>; and</w:t>
      </w:r>
    </w:p>
    <w:p w14:paraId="76F00FB7" w14:textId="1E978201" w:rsidR="009C283F" w:rsidRPr="009C283F" w:rsidRDefault="006225CB" w:rsidP="003138B1">
      <w:pPr>
        <w:pStyle w:val="ListParagraph"/>
        <w:numPr>
          <w:ilvl w:val="0"/>
          <w:numId w:val="9"/>
        </w:numPr>
        <w:tabs>
          <w:tab w:val="num" w:pos="720"/>
        </w:tabs>
        <w:spacing w:after="120"/>
        <w:ind w:left="720"/>
        <w:contextualSpacing w:val="0"/>
        <w:jc w:val="both"/>
        <w:rPr>
          <w:rFonts w:eastAsia="Calibri"/>
          <w:szCs w:val="24"/>
        </w:rPr>
      </w:pPr>
      <w:r>
        <w:rPr>
          <w:rFonts w:eastAsia="Calibri"/>
          <w:szCs w:val="24"/>
        </w:rPr>
        <w:t>M</w:t>
      </w:r>
      <w:r w:rsidR="0009149A">
        <w:rPr>
          <w:rFonts w:eastAsia="Calibri"/>
          <w:szCs w:val="24"/>
        </w:rPr>
        <w:t xml:space="preserve">anagement has documentation reflecting it has researched </w:t>
      </w:r>
      <w:r w:rsidR="00953B4A">
        <w:rPr>
          <w:rFonts w:eastAsia="Calibri"/>
          <w:szCs w:val="24"/>
        </w:rPr>
        <w:t xml:space="preserve">reconciling items </w:t>
      </w:r>
      <w:r w:rsidR="0009149A">
        <w:rPr>
          <w:rFonts w:eastAsia="Calibri"/>
          <w:szCs w:val="24"/>
        </w:rPr>
        <w:t xml:space="preserve">that </w:t>
      </w:r>
      <w:r w:rsidR="00953B4A">
        <w:rPr>
          <w:rFonts w:eastAsia="Calibri"/>
          <w:szCs w:val="24"/>
        </w:rPr>
        <w:t xml:space="preserve">have been outstanding for more than </w:t>
      </w:r>
      <w:r w:rsidR="00AC28EE">
        <w:rPr>
          <w:rFonts w:eastAsia="Calibri"/>
          <w:szCs w:val="24"/>
        </w:rPr>
        <w:t>12</w:t>
      </w:r>
      <w:r w:rsidR="00953B4A" w:rsidRPr="00705644">
        <w:rPr>
          <w:rFonts w:eastAsia="Calibri"/>
          <w:szCs w:val="24"/>
        </w:rPr>
        <w:t xml:space="preserve"> months</w:t>
      </w:r>
      <w:r w:rsidR="008253FC">
        <w:rPr>
          <w:rFonts w:eastAsia="Calibri"/>
          <w:szCs w:val="24"/>
        </w:rPr>
        <w:t xml:space="preserve"> </w:t>
      </w:r>
      <w:r w:rsidR="00AC28EE">
        <w:rPr>
          <w:rFonts w:eastAsia="Calibri"/>
          <w:szCs w:val="24"/>
        </w:rPr>
        <w:t>from the statement closing date</w:t>
      </w:r>
      <w:r>
        <w:rPr>
          <w:rFonts w:eastAsia="Calibri"/>
          <w:szCs w:val="24"/>
        </w:rPr>
        <w:t>, if applicable</w:t>
      </w:r>
      <w:r w:rsidR="00953B4A" w:rsidRPr="00705644">
        <w:rPr>
          <w:rFonts w:eastAsia="Calibri"/>
          <w:szCs w:val="24"/>
        </w:rPr>
        <w:t>.</w:t>
      </w:r>
    </w:p>
    <w:p w14:paraId="7297E513" w14:textId="77777777" w:rsidR="007D679A" w:rsidRPr="009C283F" w:rsidRDefault="007D679A" w:rsidP="009C283F">
      <w:pPr>
        <w:pStyle w:val="ListParagraph"/>
        <w:ind w:left="360"/>
        <w:jc w:val="both"/>
        <w:rPr>
          <w:rFonts w:eastAsia="Calibri"/>
          <w:szCs w:val="24"/>
        </w:rPr>
      </w:pPr>
    </w:p>
    <w:p w14:paraId="483C0502" w14:textId="45E8EAC2" w:rsidR="00953B4A" w:rsidRPr="009C283F" w:rsidRDefault="00953B4A" w:rsidP="00953B4A">
      <w:pPr>
        <w:pBdr>
          <w:bottom w:val="single" w:sz="4" w:space="1" w:color="auto"/>
        </w:pBdr>
        <w:spacing w:after="0" w:line="240" w:lineRule="auto"/>
        <w:rPr>
          <w:rFonts w:ascii="Times New Roman" w:eastAsia="Times New Roman" w:hAnsi="Times New Roman" w:cs="Times New Roman"/>
          <w:b/>
          <w:i/>
          <w:color w:val="000000"/>
          <w:sz w:val="24"/>
          <w:szCs w:val="24"/>
        </w:rPr>
      </w:pPr>
      <w:r w:rsidRPr="00DF2A53">
        <w:rPr>
          <w:rFonts w:ascii="Times New Roman" w:eastAsia="Times New Roman" w:hAnsi="Times New Roman" w:cs="Times New Roman"/>
          <w:b/>
          <w:i/>
          <w:color w:val="000000"/>
          <w:sz w:val="24"/>
          <w:szCs w:val="24"/>
        </w:rPr>
        <w:t>Collections</w:t>
      </w:r>
      <w:r w:rsidR="001309C8" w:rsidRPr="00DF2A53">
        <w:rPr>
          <w:rFonts w:ascii="Times New Roman" w:eastAsia="Times New Roman" w:hAnsi="Times New Roman" w:cs="Times New Roman"/>
          <w:b/>
          <w:i/>
          <w:color w:val="000000"/>
          <w:sz w:val="24"/>
          <w:szCs w:val="24"/>
        </w:rPr>
        <w:t xml:space="preserve"> (excluding </w:t>
      </w:r>
      <w:r w:rsidR="00C14AFB">
        <w:rPr>
          <w:rFonts w:ascii="Times New Roman" w:eastAsia="Times New Roman" w:hAnsi="Times New Roman" w:cs="Times New Roman"/>
          <w:b/>
          <w:i/>
          <w:color w:val="000000"/>
          <w:sz w:val="24"/>
          <w:szCs w:val="24"/>
        </w:rPr>
        <w:t>electronic funds transfers</w:t>
      </w:r>
      <w:r w:rsidR="001309C8" w:rsidRPr="00DF2A53">
        <w:rPr>
          <w:rFonts w:ascii="Times New Roman" w:eastAsia="Times New Roman" w:hAnsi="Times New Roman" w:cs="Times New Roman"/>
          <w:b/>
          <w:i/>
          <w:color w:val="000000"/>
          <w:sz w:val="24"/>
          <w:szCs w:val="24"/>
        </w:rPr>
        <w:t>)</w:t>
      </w:r>
      <w:r w:rsidR="006522CB" w:rsidRPr="00DF2A53">
        <w:rPr>
          <w:rStyle w:val="FootnoteReference"/>
          <w:rFonts w:ascii="Times New Roman" w:eastAsia="Times New Roman" w:hAnsi="Times New Roman" w:cs="Times New Roman"/>
          <w:b/>
          <w:i/>
          <w:color w:val="000000"/>
          <w:sz w:val="24"/>
          <w:szCs w:val="24"/>
        </w:rPr>
        <w:footnoteReference w:id="11"/>
      </w:r>
    </w:p>
    <w:p w14:paraId="4199085A" w14:textId="77777777" w:rsidR="00953B4A" w:rsidRPr="009C283F" w:rsidRDefault="00953B4A" w:rsidP="00953B4A">
      <w:pPr>
        <w:spacing w:after="0" w:line="240" w:lineRule="auto"/>
        <w:rPr>
          <w:rFonts w:ascii="Times New Roman" w:eastAsia="Times New Roman" w:hAnsi="Times New Roman" w:cs="Times New Roman"/>
          <w:b/>
          <w:i/>
          <w:sz w:val="24"/>
          <w:szCs w:val="24"/>
        </w:rPr>
      </w:pPr>
    </w:p>
    <w:p w14:paraId="26E22A61" w14:textId="77777777" w:rsidR="006C5E09" w:rsidRDefault="00836FE4" w:rsidP="00A54BEA">
      <w:pPr>
        <w:numPr>
          <w:ilvl w:val="0"/>
          <w:numId w:val="11"/>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Obtain a listing of </w:t>
      </w:r>
      <w:r w:rsidR="004E6A3D" w:rsidRPr="00DA3E94">
        <w:rPr>
          <w:rFonts w:ascii="Times New Roman" w:eastAsia="Calibri" w:hAnsi="Times New Roman" w:cs="Times New Roman"/>
          <w:sz w:val="24"/>
          <w:szCs w:val="24"/>
        </w:rPr>
        <w:t>deposit sites</w:t>
      </w:r>
      <w:r w:rsidR="0006204B" w:rsidRPr="00DA3E94">
        <w:rPr>
          <w:rStyle w:val="FootnoteReference"/>
          <w:rFonts w:ascii="Times New Roman" w:eastAsia="Calibri" w:hAnsi="Times New Roman" w:cs="Times New Roman"/>
          <w:sz w:val="24"/>
          <w:szCs w:val="24"/>
        </w:rPr>
        <w:footnoteReference w:id="12"/>
      </w:r>
      <w:r>
        <w:rPr>
          <w:rFonts w:ascii="Times New Roman" w:eastAsia="Calibri" w:hAnsi="Times New Roman" w:cs="Times New Roman"/>
          <w:sz w:val="24"/>
          <w:szCs w:val="24"/>
        </w:rPr>
        <w:t xml:space="preserve"> </w:t>
      </w:r>
      <w:r w:rsidR="00A577A3">
        <w:rPr>
          <w:rFonts w:ascii="Times New Roman" w:eastAsia="Calibri" w:hAnsi="Times New Roman" w:cs="Times New Roman"/>
          <w:sz w:val="24"/>
          <w:szCs w:val="24"/>
        </w:rPr>
        <w:t xml:space="preserve">for the fiscal period </w:t>
      </w:r>
      <w:r>
        <w:rPr>
          <w:rFonts w:ascii="Times New Roman" w:eastAsia="Calibri" w:hAnsi="Times New Roman" w:cs="Times New Roman"/>
          <w:sz w:val="24"/>
          <w:szCs w:val="24"/>
        </w:rPr>
        <w:t xml:space="preserve">where </w:t>
      </w:r>
      <w:r w:rsidR="004E6A3D">
        <w:rPr>
          <w:rFonts w:ascii="Times New Roman" w:eastAsia="Calibri" w:hAnsi="Times New Roman" w:cs="Times New Roman"/>
          <w:sz w:val="24"/>
          <w:szCs w:val="24"/>
        </w:rPr>
        <w:t xml:space="preserve">deposits for </w:t>
      </w:r>
      <w:r>
        <w:rPr>
          <w:rFonts w:ascii="Times New Roman" w:eastAsia="Calibri" w:hAnsi="Times New Roman" w:cs="Times New Roman"/>
          <w:sz w:val="24"/>
          <w:szCs w:val="24"/>
        </w:rPr>
        <w:t>cash/checks/m</w:t>
      </w:r>
      <w:r w:rsidR="004E6A3D">
        <w:rPr>
          <w:rFonts w:ascii="Times New Roman" w:eastAsia="Calibri" w:hAnsi="Times New Roman" w:cs="Times New Roman"/>
          <w:sz w:val="24"/>
          <w:szCs w:val="24"/>
        </w:rPr>
        <w:t>oney orders (cash) are prepared</w:t>
      </w:r>
      <w:r>
        <w:rPr>
          <w:rFonts w:ascii="Times New Roman" w:eastAsia="Calibri" w:hAnsi="Times New Roman" w:cs="Times New Roman"/>
          <w:sz w:val="24"/>
          <w:szCs w:val="24"/>
        </w:rPr>
        <w:t xml:space="preserve"> and management’s representation that the listing is comple</w:t>
      </w:r>
      <w:r w:rsidR="004E6A3D">
        <w:rPr>
          <w:rFonts w:ascii="Times New Roman" w:eastAsia="Calibri" w:hAnsi="Times New Roman" w:cs="Times New Roman"/>
          <w:sz w:val="24"/>
          <w:szCs w:val="24"/>
        </w:rPr>
        <w:t>te.  Randomly select 5 deposit sites (or all deposit sites</w:t>
      </w:r>
      <w:r>
        <w:rPr>
          <w:rFonts w:ascii="Times New Roman" w:eastAsia="Calibri" w:hAnsi="Times New Roman" w:cs="Times New Roman"/>
          <w:sz w:val="24"/>
          <w:szCs w:val="24"/>
        </w:rPr>
        <w:t xml:space="preserve"> if les</w:t>
      </w:r>
      <w:r w:rsidR="006C5E09">
        <w:rPr>
          <w:rFonts w:ascii="Times New Roman" w:eastAsia="Calibri" w:hAnsi="Times New Roman" w:cs="Times New Roman"/>
          <w:sz w:val="24"/>
          <w:szCs w:val="24"/>
        </w:rPr>
        <w:t xml:space="preserve">s than </w:t>
      </w:r>
      <w:r w:rsidR="002C6A0C">
        <w:rPr>
          <w:rFonts w:ascii="Times New Roman" w:eastAsia="Calibri" w:hAnsi="Times New Roman" w:cs="Times New Roman"/>
          <w:sz w:val="24"/>
          <w:szCs w:val="24"/>
        </w:rPr>
        <w:t>5</w:t>
      </w:r>
      <w:r w:rsidR="006C5E09">
        <w:rPr>
          <w:rFonts w:ascii="Times New Roman" w:eastAsia="Calibri" w:hAnsi="Times New Roman" w:cs="Times New Roman"/>
          <w:sz w:val="24"/>
          <w:szCs w:val="24"/>
        </w:rPr>
        <w:t xml:space="preserve">).  </w:t>
      </w:r>
    </w:p>
    <w:p w14:paraId="4D80A23B" w14:textId="0E0AA9A1" w:rsidR="00836FE4" w:rsidRDefault="006C5E09" w:rsidP="00C471F1">
      <w:pPr>
        <w:numPr>
          <w:ilvl w:val="0"/>
          <w:numId w:val="2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 each deposit site</w:t>
      </w:r>
      <w:r w:rsidR="00C54B58">
        <w:rPr>
          <w:rFonts w:ascii="Times New Roman" w:eastAsia="Calibri" w:hAnsi="Times New Roman" w:cs="Times New Roman"/>
          <w:sz w:val="24"/>
          <w:szCs w:val="24"/>
        </w:rPr>
        <w:t xml:space="preserve"> selected</w:t>
      </w:r>
      <w:r>
        <w:rPr>
          <w:rFonts w:ascii="Times New Roman" w:eastAsia="Calibri" w:hAnsi="Times New Roman" w:cs="Times New Roman"/>
          <w:sz w:val="24"/>
          <w:szCs w:val="24"/>
        </w:rPr>
        <w:t xml:space="preserve">, obtain a listing of </w:t>
      </w:r>
      <w:r w:rsidRPr="00DA3E94">
        <w:rPr>
          <w:rFonts w:ascii="Times New Roman" w:eastAsia="Calibri" w:hAnsi="Times New Roman" w:cs="Times New Roman"/>
          <w:sz w:val="24"/>
          <w:szCs w:val="24"/>
        </w:rPr>
        <w:t>collection locations</w:t>
      </w:r>
      <w:r w:rsidRPr="00DA3E94">
        <w:rPr>
          <w:rStyle w:val="FootnoteReference"/>
          <w:rFonts w:ascii="Times New Roman" w:eastAsia="Calibri" w:hAnsi="Times New Roman" w:cs="Times New Roman"/>
          <w:sz w:val="24"/>
          <w:szCs w:val="24"/>
        </w:rPr>
        <w:footnoteReference w:id="13"/>
      </w:r>
      <w:r>
        <w:rPr>
          <w:rFonts w:ascii="Times New Roman" w:eastAsia="Calibri" w:hAnsi="Times New Roman" w:cs="Times New Roman"/>
          <w:sz w:val="24"/>
          <w:szCs w:val="24"/>
        </w:rPr>
        <w:t xml:space="preserve"> and management’s representation that the listing is complete.  Randomly select one collection location for each deposit site (i.e.</w:t>
      </w:r>
      <w:r w:rsidR="00772411">
        <w:rPr>
          <w:rFonts w:ascii="Times New Roman" w:eastAsia="Calibri" w:hAnsi="Times New Roman" w:cs="Times New Roman"/>
          <w:sz w:val="24"/>
          <w:szCs w:val="24"/>
        </w:rPr>
        <w:t>,</w:t>
      </w:r>
      <w:r>
        <w:rPr>
          <w:rFonts w:ascii="Times New Roman" w:eastAsia="Calibri" w:hAnsi="Times New Roman" w:cs="Times New Roman"/>
          <w:sz w:val="24"/>
          <w:szCs w:val="24"/>
        </w:rPr>
        <w:t xml:space="preserve"> 5 collection locations for 5 deposit sites), o</w:t>
      </w:r>
      <w:r w:rsidR="00836FE4">
        <w:rPr>
          <w:rFonts w:ascii="Times New Roman" w:eastAsia="Calibri" w:hAnsi="Times New Roman" w:cs="Times New Roman"/>
          <w:sz w:val="24"/>
          <w:szCs w:val="24"/>
        </w:rPr>
        <w:t xml:space="preserve">btain </w:t>
      </w:r>
      <w:r w:rsidR="004E6A3D">
        <w:rPr>
          <w:rFonts w:ascii="Times New Roman" w:eastAsia="Calibri" w:hAnsi="Times New Roman" w:cs="Times New Roman"/>
          <w:sz w:val="24"/>
          <w:szCs w:val="24"/>
        </w:rPr>
        <w:t xml:space="preserve">and inspect </w:t>
      </w:r>
      <w:r w:rsidR="00836FE4">
        <w:rPr>
          <w:rFonts w:ascii="Times New Roman" w:eastAsia="Calibri" w:hAnsi="Times New Roman" w:cs="Times New Roman"/>
          <w:sz w:val="24"/>
          <w:szCs w:val="24"/>
        </w:rPr>
        <w:t>written policies and procedures relating to employee job duties</w:t>
      </w:r>
      <w:r>
        <w:rPr>
          <w:rFonts w:ascii="Times New Roman" w:eastAsia="Calibri" w:hAnsi="Times New Roman" w:cs="Times New Roman"/>
          <w:sz w:val="24"/>
          <w:szCs w:val="24"/>
        </w:rPr>
        <w:t xml:space="preserve"> (if no written policies or procedures</w:t>
      </w:r>
      <w:r w:rsidR="00836FE4">
        <w:rPr>
          <w:rFonts w:ascii="Times New Roman" w:eastAsia="Calibri" w:hAnsi="Times New Roman" w:cs="Times New Roman"/>
          <w:sz w:val="24"/>
          <w:szCs w:val="24"/>
        </w:rPr>
        <w:t>, inquire of employees about their job duties</w:t>
      </w:r>
      <w:r>
        <w:rPr>
          <w:rFonts w:ascii="Times New Roman" w:eastAsia="Calibri" w:hAnsi="Times New Roman" w:cs="Times New Roman"/>
          <w:sz w:val="24"/>
          <w:szCs w:val="24"/>
        </w:rPr>
        <w:t>) at each collection location,</w:t>
      </w:r>
      <w:r w:rsidR="00836FE4">
        <w:rPr>
          <w:rFonts w:ascii="Times New Roman" w:eastAsia="Calibri" w:hAnsi="Times New Roman" w:cs="Times New Roman"/>
          <w:sz w:val="24"/>
          <w:szCs w:val="24"/>
        </w:rPr>
        <w:t xml:space="preserve"> and observe that job duties are properly segregated </w:t>
      </w:r>
      <w:r>
        <w:rPr>
          <w:rFonts w:ascii="Times New Roman" w:eastAsia="Calibri" w:hAnsi="Times New Roman" w:cs="Times New Roman"/>
          <w:sz w:val="24"/>
          <w:szCs w:val="24"/>
        </w:rPr>
        <w:t xml:space="preserve">at each collection location </w:t>
      </w:r>
      <w:r w:rsidR="00836FE4">
        <w:rPr>
          <w:rFonts w:ascii="Times New Roman" w:eastAsia="Calibri" w:hAnsi="Times New Roman" w:cs="Times New Roman"/>
          <w:sz w:val="24"/>
          <w:szCs w:val="24"/>
        </w:rPr>
        <w:t>such that:</w:t>
      </w:r>
    </w:p>
    <w:p w14:paraId="5ADC86DA" w14:textId="3563150A" w:rsidR="00836FE4" w:rsidRDefault="00836FE4" w:rsidP="00836FE4">
      <w:pPr>
        <w:numPr>
          <w:ilvl w:val="0"/>
          <w:numId w:val="1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Employees responsible for cash collections do not share cash drawers</w:t>
      </w:r>
      <w:r w:rsidR="009C57A5">
        <w:rPr>
          <w:rFonts w:ascii="Times New Roman" w:eastAsia="Calibri" w:hAnsi="Times New Roman" w:cs="Times New Roman"/>
          <w:sz w:val="24"/>
          <w:szCs w:val="24"/>
        </w:rPr>
        <w:t>/registers</w:t>
      </w:r>
      <w:r>
        <w:rPr>
          <w:rFonts w:ascii="Times New Roman" w:eastAsia="Calibri" w:hAnsi="Times New Roman" w:cs="Times New Roman"/>
          <w:sz w:val="24"/>
          <w:szCs w:val="24"/>
        </w:rPr>
        <w:t>.</w:t>
      </w:r>
    </w:p>
    <w:p w14:paraId="592E35BB" w14:textId="4A1A48EC" w:rsidR="00836FE4" w:rsidRDefault="00836FE4" w:rsidP="00836FE4">
      <w:pPr>
        <w:numPr>
          <w:ilvl w:val="0"/>
          <w:numId w:val="1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Each employee responsible for collecting cash is not responsible for preparing/making bank deposits</w:t>
      </w:r>
      <w:r w:rsidR="007D0309">
        <w:rPr>
          <w:rFonts w:ascii="Times New Roman" w:eastAsia="Calibri" w:hAnsi="Times New Roman" w:cs="Times New Roman"/>
          <w:sz w:val="24"/>
          <w:szCs w:val="24"/>
        </w:rPr>
        <w:t xml:space="preserve">, </w:t>
      </w:r>
      <w:r>
        <w:rPr>
          <w:rFonts w:ascii="Times New Roman" w:eastAsia="Calibri" w:hAnsi="Times New Roman" w:cs="Times New Roman"/>
          <w:sz w:val="24"/>
          <w:szCs w:val="24"/>
        </w:rPr>
        <w:t>unless another employee</w:t>
      </w:r>
      <w:r w:rsidR="007D0309">
        <w:rPr>
          <w:rFonts w:ascii="Times New Roman" w:eastAsia="Calibri" w:hAnsi="Times New Roman" w:cs="Times New Roman"/>
          <w:sz w:val="24"/>
          <w:szCs w:val="24"/>
        </w:rPr>
        <w:t>/official</w:t>
      </w:r>
      <w:r>
        <w:rPr>
          <w:rFonts w:ascii="Times New Roman" w:eastAsia="Calibri" w:hAnsi="Times New Roman" w:cs="Times New Roman"/>
          <w:sz w:val="24"/>
          <w:szCs w:val="24"/>
        </w:rPr>
        <w:t xml:space="preserve"> is responsible for reconciling collection documentation</w:t>
      </w:r>
      <w:r w:rsidR="007D0309">
        <w:rPr>
          <w:rFonts w:ascii="Times New Roman" w:eastAsia="Calibri" w:hAnsi="Times New Roman" w:cs="Times New Roman"/>
          <w:sz w:val="24"/>
          <w:szCs w:val="24"/>
        </w:rPr>
        <w:t xml:space="preserve"> (e.g.</w:t>
      </w:r>
      <w:r w:rsidR="00772411">
        <w:rPr>
          <w:rFonts w:ascii="Times New Roman" w:eastAsia="Calibri" w:hAnsi="Times New Roman" w:cs="Times New Roman"/>
          <w:sz w:val="24"/>
          <w:szCs w:val="24"/>
        </w:rPr>
        <w:t>,</w:t>
      </w:r>
      <w:r w:rsidR="007D0309">
        <w:rPr>
          <w:rFonts w:ascii="Times New Roman" w:eastAsia="Calibri" w:hAnsi="Times New Roman" w:cs="Times New Roman"/>
          <w:sz w:val="24"/>
          <w:szCs w:val="24"/>
        </w:rPr>
        <w:t xml:space="preserve"> pre-numbered receipts) to the deposit</w:t>
      </w:r>
      <w:r>
        <w:rPr>
          <w:rFonts w:ascii="Times New Roman" w:eastAsia="Calibri" w:hAnsi="Times New Roman" w:cs="Times New Roman"/>
          <w:sz w:val="24"/>
          <w:szCs w:val="24"/>
        </w:rPr>
        <w:t>.</w:t>
      </w:r>
    </w:p>
    <w:p w14:paraId="5CD02D49" w14:textId="77777777" w:rsidR="00836FE4" w:rsidRDefault="00836FE4" w:rsidP="00836FE4">
      <w:pPr>
        <w:numPr>
          <w:ilvl w:val="0"/>
          <w:numId w:val="1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Each employee responsible for collecting cash is not responsible for posting </w:t>
      </w:r>
      <w:r w:rsidR="007D0309">
        <w:rPr>
          <w:rFonts w:ascii="Times New Roman" w:eastAsia="Calibri" w:hAnsi="Times New Roman" w:cs="Times New Roman"/>
          <w:sz w:val="24"/>
          <w:szCs w:val="24"/>
        </w:rPr>
        <w:t>collection entries</w:t>
      </w:r>
      <w:r>
        <w:rPr>
          <w:rFonts w:ascii="Times New Roman" w:eastAsia="Calibri" w:hAnsi="Times New Roman" w:cs="Times New Roman"/>
          <w:sz w:val="24"/>
          <w:szCs w:val="24"/>
        </w:rPr>
        <w:t xml:space="preserve"> to the general ledger or subsidiary ledgers</w:t>
      </w:r>
      <w:r w:rsidR="007D0309">
        <w:rPr>
          <w:rFonts w:ascii="Times New Roman" w:eastAsia="Calibri" w:hAnsi="Times New Roman" w:cs="Times New Roman"/>
          <w:sz w:val="24"/>
          <w:szCs w:val="24"/>
        </w:rPr>
        <w:t xml:space="preserve">, </w:t>
      </w:r>
      <w:r>
        <w:rPr>
          <w:rFonts w:ascii="Times New Roman" w:eastAsia="Calibri" w:hAnsi="Times New Roman" w:cs="Times New Roman"/>
          <w:sz w:val="24"/>
          <w:szCs w:val="24"/>
        </w:rPr>
        <w:t>unless another employee</w:t>
      </w:r>
      <w:r w:rsidR="007D0309">
        <w:rPr>
          <w:rFonts w:ascii="Times New Roman" w:eastAsia="Calibri" w:hAnsi="Times New Roman" w:cs="Times New Roman"/>
          <w:sz w:val="24"/>
          <w:szCs w:val="24"/>
        </w:rPr>
        <w:t>/official</w:t>
      </w:r>
      <w:r>
        <w:rPr>
          <w:rFonts w:ascii="Times New Roman" w:eastAsia="Calibri" w:hAnsi="Times New Roman" w:cs="Times New Roman"/>
          <w:sz w:val="24"/>
          <w:szCs w:val="24"/>
        </w:rPr>
        <w:t xml:space="preserve"> is responsible for reconciling</w:t>
      </w:r>
      <w:r w:rsidR="007D0309">
        <w:rPr>
          <w:rFonts w:ascii="Times New Roman" w:eastAsia="Calibri" w:hAnsi="Times New Roman" w:cs="Times New Roman"/>
          <w:sz w:val="24"/>
          <w:szCs w:val="24"/>
        </w:rPr>
        <w:t xml:space="preserve"> ledger postings to each other and to the deposit</w:t>
      </w:r>
      <w:r>
        <w:rPr>
          <w:rFonts w:ascii="Times New Roman" w:eastAsia="Calibri" w:hAnsi="Times New Roman" w:cs="Times New Roman"/>
          <w:sz w:val="24"/>
          <w:szCs w:val="24"/>
        </w:rPr>
        <w:t>.</w:t>
      </w:r>
    </w:p>
    <w:p w14:paraId="39662801" w14:textId="1520CD31" w:rsidR="004673FD" w:rsidRPr="007C68EA" w:rsidRDefault="007D0309" w:rsidP="00836FE4">
      <w:pPr>
        <w:numPr>
          <w:ilvl w:val="0"/>
          <w:numId w:val="1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w:t>
      </w:r>
      <w:r w:rsidR="004673FD" w:rsidRPr="007C68EA">
        <w:rPr>
          <w:rFonts w:ascii="Times New Roman" w:eastAsia="Calibri" w:hAnsi="Times New Roman" w:cs="Times New Roman"/>
          <w:sz w:val="24"/>
          <w:szCs w:val="24"/>
        </w:rPr>
        <w:t xml:space="preserve"> employee</w:t>
      </w:r>
      <w:r>
        <w:rPr>
          <w:rFonts w:ascii="Times New Roman" w:eastAsia="Calibri" w:hAnsi="Times New Roman" w:cs="Times New Roman"/>
          <w:sz w:val="24"/>
          <w:szCs w:val="24"/>
        </w:rPr>
        <w:t>(s)</w:t>
      </w:r>
      <w:r w:rsidR="004673FD" w:rsidRPr="007C68EA">
        <w:rPr>
          <w:rFonts w:ascii="Times New Roman" w:eastAsia="Calibri" w:hAnsi="Times New Roman" w:cs="Times New Roman"/>
          <w:sz w:val="24"/>
          <w:szCs w:val="24"/>
        </w:rPr>
        <w:t xml:space="preserve"> responsible for reconciling</w:t>
      </w:r>
      <w:r w:rsidR="007C68EA" w:rsidRPr="007C68EA">
        <w:rPr>
          <w:rFonts w:ascii="Times New Roman" w:eastAsia="Calibri" w:hAnsi="Times New Roman" w:cs="Times New Roman"/>
          <w:sz w:val="24"/>
          <w:szCs w:val="24"/>
        </w:rPr>
        <w:t xml:space="preserve"> cash collections to the general ledger and/or subsidiary ledgers, by revenue source and/or agency fund additions</w:t>
      </w:r>
      <w:r w:rsidR="00C14AFB">
        <w:rPr>
          <w:rFonts w:ascii="Times New Roman" w:eastAsia="Calibri" w:hAnsi="Times New Roman" w:cs="Times New Roman"/>
          <w:sz w:val="24"/>
          <w:szCs w:val="24"/>
        </w:rPr>
        <w:t>,</w:t>
      </w:r>
      <w:r w:rsidR="007C68EA" w:rsidRPr="007C68EA">
        <w:rPr>
          <w:rFonts w:ascii="Times New Roman" w:eastAsia="Calibri" w:hAnsi="Times New Roman" w:cs="Times New Roman"/>
          <w:sz w:val="24"/>
          <w:szCs w:val="24"/>
        </w:rPr>
        <w:t xml:space="preserve"> </w:t>
      </w:r>
      <w:r>
        <w:rPr>
          <w:rFonts w:ascii="Times New Roman" w:eastAsia="Calibri" w:hAnsi="Times New Roman" w:cs="Times New Roman"/>
          <w:sz w:val="24"/>
          <w:szCs w:val="24"/>
        </w:rPr>
        <w:t>are</w:t>
      </w:r>
      <w:r w:rsidR="007C68EA" w:rsidRPr="007C68EA">
        <w:rPr>
          <w:rFonts w:ascii="Times New Roman" w:eastAsia="Calibri" w:hAnsi="Times New Roman" w:cs="Times New Roman"/>
          <w:sz w:val="24"/>
          <w:szCs w:val="24"/>
        </w:rPr>
        <w:t xml:space="preserve"> not responsible for collecting cash</w:t>
      </w:r>
      <w:r>
        <w:rPr>
          <w:rFonts w:ascii="Times New Roman" w:eastAsia="Calibri" w:hAnsi="Times New Roman" w:cs="Times New Roman"/>
          <w:sz w:val="24"/>
          <w:szCs w:val="24"/>
        </w:rPr>
        <w:t xml:space="preserve">, </w:t>
      </w:r>
      <w:r w:rsidR="007C68EA" w:rsidRPr="007C68EA">
        <w:rPr>
          <w:rFonts w:ascii="Times New Roman" w:eastAsia="Calibri" w:hAnsi="Times New Roman" w:cs="Times New Roman"/>
          <w:sz w:val="24"/>
          <w:szCs w:val="24"/>
        </w:rPr>
        <w:t>unless another employee</w:t>
      </w:r>
      <w:r w:rsidR="00C14AFB">
        <w:rPr>
          <w:rFonts w:ascii="Times New Roman" w:eastAsia="Calibri" w:hAnsi="Times New Roman" w:cs="Times New Roman"/>
          <w:sz w:val="24"/>
          <w:szCs w:val="24"/>
        </w:rPr>
        <w:t>/official</w:t>
      </w:r>
      <w:r w:rsidR="007C68EA" w:rsidRPr="007C68EA">
        <w:rPr>
          <w:rFonts w:ascii="Times New Roman" w:eastAsia="Calibri" w:hAnsi="Times New Roman" w:cs="Times New Roman"/>
          <w:sz w:val="24"/>
          <w:szCs w:val="24"/>
        </w:rPr>
        <w:t xml:space="preserve"> verifies the reconciliation.</w:t>
      </w:r>
    </w:p>
    <w:p w14:paraId="1F198A14" w14:textId="352AEEB6" w:rsidR="00A94341" w:rsidRPr="00B67BC1" w:rsidRDefault="00425BD7" w:rsidP="00C471F1">
      <w:pPr>
        <w:numPr>
          <w:ilvl w:val="0"/>
          <w:numId w:val="2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Obtain from </w:t>
      </w:r>
      <w:r w:rsidRPr="00B67BC1">
        <w:rPr>
          <w:rFonts w:ascii="Times New Roman" w:eastAsia="Calibri" w:hAnsi="Times New Roman" w:cs="Times New Roman"/>
          <w:sz w:val="24"/>
          <w:szCs w:val="24"/>
        </w:rPr>
        <w:t xml:space="preserve">management </w:t>
      </w:r>
      <w:r>
        <w:rPr>
          <w:rFonts w:ascii="Times New Roman" w:eastAsia="Calibri" w:hAnsi="Times New Roman" w:cs="Times New Roman"/>
          <w:sz w:val="24"/>
          <w:szCs w:val="24"/>
        </w:rPr>
        <w:t>a copy of the bond or</w:t>
      </w:r>
      <w:r w:rsidRPr="00B67BC1">
        <w:rPr>
          <w:rFonts w:ascii="Times New Roman" w:eastAsia="Calibri" w:hAnsi="Times New Roman" w:cs="Times New Roman"/>
          <w:sz w:val="24"/>
          <w:szCs w:val="24"/>
        </w:rPr>
        <w:t xml:space="preserve"> insurance policy for theft</w:t>
      </w:r>
      <w:r>
        <w:rPr>
          <w:rFonts w:ascii="Times New Roman" w:eastAsia="Calibri" w:hAnsi="Times New Roman" w:cs="Times New Roman"/>
          <w:sz w:val="24"/>
          <w:szCs w:val="24"/>
        </w:rPr>
        <w:t xml:space="preserve"> covering </w:t>
      </w:r>
      <w:r w:rsidRPr="00B67BC1">
        <w:rPr>
          <w:rFonts w:ascii="Times New Roman" w:eastAsia="Calibri" w:hAnsi="Times New Roman" w:cs="Times New Roman"/>
          <w:sz w:val="24"/>
          <w:szCs w:val="24"/>
        </w:rPr>
        <w:t xml:space="preserve">all employees who </w:t>
      </w:r>
      <w:r>
        <w:rPr>
          <w:rFonts w:ascii="Times New Roman" w:eastAsia="Calibri" w:hAnsi="Times New Roman" w:cs="Times New Roman"/>
          <w:sz w:val="24"/>
          <w:szCs w:val="24"/>
        </w:rPr>
        <w:t>have access to</w:t>
      </w:r>
      <w:r w:rsidRPr="00B67BC1">
        <w:rPr>
          <w:rFonts w:ascii="Times New Roman" w:eastAsia="Calibri" w:hAnsi="Times New Roman" w:cs="Times New Roman"/>
          <w:sz w:val="24"/>
          <w:szCs w:val="24"/>
        </w:rPr>
        <w:t xml:space="preserve"> cash</w:t>
      </w:r>
      <w:bookmarkStart w:id="7" w:name="_Hlk80091066"/>
      <w:r w:rsidRPr="00B67BC1">
        <w:rPr>
          <w:rFonts w:ascii="Times New Roman" w:eastAsia="Calibri" w:hAnsi="Times New Roman" w:cs="Times New Roman"/>
          <w:sz w:val="24"/>
          <w:szCs w:val="24"/>
        </w:rPr>
        <w:t>.</w:t>
      </w:r>
      <w:bookmarkEnd w:id="7"/>
      <w:r>
        <w:rPr>
          <w:rFonts w:ascii="Times New Roman" w:eastAsia="Calibri" w:hAnsi="Times New Roman" w:cs="Times New Roman"/>
          <w:sz w:val="24"/>
          <w:szCs w:val="24"/>
        </w:rPr>
        <w:t xml:space="preserve"> Observe the bond or insurance policy for theft was enforce</w:t>
      </w:r>
      <w:r w:rsidR="005815A5">
        <w:rPr>
          <w:rFonts w:ascii="Times New Roman" w:eastAsia="Calibri" w:hAnsi="Times New Roman" w:cs="Times New Roman"/>
          <w:sz w:val="24"/>
          <w:szCs w:val="24"/>
        </w:rPr>
        <w:t>d</w:t>
      </w:r>
      <w:r>
        <w:rPr>
          <w:rFonts w:ascii="Times New Roman" w:eastAsia="Calibri" w:hAnsi="Times New Roman" w:cs="Times New Roman"/>
          <w:sz w:val="24"/>
          <w:szCs w:val="24"/>
        </w:rPr>
        <w:t xml:space="preserve"> during the </w:t>
      </w:r>
      <w:r w:rsidR="005815A5">
        <w:rPr>
          <w:rFonts w:ascii="Times New Roman" w:eastAsia="Calibri" w:hAnsi="Times New Roman" w:cs="Times New Roman"/>
          <w:sz w:val="24"/>
          <w:szCs w:val="24"/>
        </w:rPr>
        <w:t>fiscal period</w:t>
      </w:r>
      <w:r w:rsidR="00A94341" w:rsidRPr="00B67BC1">
        <w:rPr>
          <w:rFonts w:ascii="Times New Roman" w:eastAsia="Calibri" w:hAnsi="Times New Roman" w:cs="Times New Roman"/>
          <w:sz w:val="24"/>
          <w:szCs w:val="24"/>
        </w:rPr>
        <w:t>.</w:t>
      </w:r>
    </w:p>
    <w:p w14:paraId="31D2E155" w14:textId="77777777" w:rsidR="00391A8E" w:rsidRPr="00B22261" w:rsidRDefault="00391A8E" w:rsidP="00C471F1">
      <w:pPr>
        <w:numPr>
          <w:ilvl w:val="0"/>
          <w:numId w:val="23"/>
        </w:numPr>
        <w:spacing w:after="120" w:line="240" w:lineRule="auto"/>
        <w:jc w:val="both"/>
        <w:rPr>
          <w:rFonts w:ascii="Times New Roman" w:eastAsia="Calibri" w:hAnsi="Times New Roman" w:cs="Times New Roman"/>
          <w:sz w:val="24"/>
          <w:szCs w:val="24"/>
        </w:rPr>
      </w:pPr>
      <w:r w:rsidRPr="00B67BC1">
        <w:rPr>
          <w:rFonts w:ascii="Times New Roman" w:eastAsia="Calibri" w:hAnsi="Times New Roman" w:cs="Times New Roman"/>
          <w:sz w:val="24"/>
          <w:szCs w:val="24"/>
        </w:rPr>
        <w:t xml:space="preserve">Randomly select two deposit dates for </w:t>
      </w:r>
      <w:r w:rsidR="00AB76D8" w:rsidRPr="00B67BC1">
        <w:rPr>
          <w:rFonts w:ascii="Times New Roman" w:eastAsia="Calibri" w:hAnsi="Times New Roman" w:cs="Times New Roman"/>
          <w:sz w:val="24"/>
          <w:szCs w:val="24"/>
        </w:rPr>
        <w:t>each of the 5 bank accounts</w:t>
      </w:r>
      <w:r w:rsidRPr="00B67BC1">
        <w:rPr>
          <w:rFonts w:ascii="Times New Roman" w:eastAsia="Calibri" w:hAnsi="Times New Roman" w:cs="Times New Roman"/>
          <w:sz w:val="24"/>
          <w:szCs w:val="24"/>
        </w:rPr>
        <w:t xml:space="preserve"> selected </w:t>
      </w:r>
      <w:r w:rsidR="00AB76D8" w:rsidRPr="00B67BC1">
        <w:rPr>
          <w:rFonts w:ascii="Times New Roman" w:eastAsia="Calibri" w:hAnsi="Times New Roman" w:cs="Times New Roman"/>
          <w:sz w:val="24"/>
          <w:szCs w:val="24"/>
        </w:rPr>
        <w:t>for</w:t>
      </w:r>
      <w:r w:rsidRPr="00B67BC1">
        <w:rPr>
          <w:rFonts w:ascii="Times New Roman" w:eastAsia="Calibri" w:hAnsi="Times New Roman" w:cs="Times New Roman"/>
          <w:sz w:val="24"/>
          <w:szCs w:val="24"/>
        </w:rPr>
        <w:t xml:space="preserve"> </w:t>
      </w:r>
      <w:r w:rsidRPr="00B67BC1">
        <w:rPr>
          <w:rFonts w:ascii="Times New Roman" w:eastAsia="Times New Roman" w:hAnsi="Times New Roman" w:cs="Times New Roman"/>
          <w:sz w:val="24"/>
          <w:szCs w:val="24"/>
        </w:rPr>
        <w:t>procedure #</w:t>
      </w:r>
      <w:r w:rsidR="006C5E09">
        <w:rPr>
          <w:rFonts w:ascii="Times New Roman" w:eastAsia="Times New Roman" w:hAnsi="Times New Roman" w:cs="Times New Roman"/>
          <w:sz w:val="24"/>
          <w:szCs w:val="24"/>
        </w:rPr>
        <w:t>3</w:t>
      </w:r>
      <w:r w:rsidRPr="00B67BC1">
        <w:rPr>
          <w:rFonts w:ascii="Times New Roman" w:eastAsia="Times New Roman" w:hAnsi="Times New Roman" w:cs="Times New Roman"/>
          <w:sz w:val="24"/>
          <w:szCs w:val="24"/>
        </w:rPr>
        <w:t xml:space="preserve"> under “Bank Reconciliations” above</w:t>
      </w:r>
      <w:r w:rsidR="00B22261">
        <w:rPr>
          <w:rFonts w:ascii="Times New Roman" w:eastAsia="Times New Roman" w:hAnsi="Times New Roman" w:cs="Times New Roman"/>
          <w:sz w:val="24"/>
          <w:szCs w:val="24"/>
        </w:rPr>
        <w:t xml:space="preserve"> (select the next deposit date chronologically if no deposits were made on the dates randomly selected</w:t>
      </w:r>
      <w:r w:rsidR="003E6921">
        <w:rPr>
          <w:rFonts w:ascii="Times New Roman" w:eastAsia="Times New Roman" w:hAnsi="Times New Roman" w:cs="Times New Roman"/>
          <w:sz w:val="24"/>
          <w:szCs w:val="24"/>
        </w:rPr>
        <w:t xml:space="preserve"> and randomly select a deposit if multiple deposits are made on the same day</w:t>
      </w:r>
      <w:r w:rsidR="00B22261">
        <w:rPr>
          <w:rFonts w:ascii="Times New Roman" w:eastAsia="Times New Roman" w:hAnsi="Times New Roman" w:cs="Times New Roman"/>
          <w:sz w:val="24"/>
          <w:szCs w:val="24"/>
        </w:rPr>
        <w:t>)</w:t>
      </w:r>
      <w:r w:rsidR="00AB76D8" w:rsidRPr="00B67BC1">
        <w:rPr>
          <w:rFonts w:ascii="Times New Roman" w:eastAsia="Times New Roman" w:hAnsi="Times New Roman" w:cs="Times New Roman"/>
          <w:sz w:val="24"/>
          <w:szCs w:val="24"/>
        </w:rPr>
        <w:t>.</w:t>
      </w:r>
      <w:r w:rsidR="00231F20">
        <w:rPr>
          <w:rFonts w:ascii="Times New Roman" w:eastAsia="Times New Roman" w:hAnsi="Times New Roman" w:cs="Times New Roman"/>
          <w:sz w:val="24"/>
          <w:szCs w:val="24"/>
        </w:rPr>
        <w:t xml:space="preserve">  </w:t>
      </w:r>
      <w:r w:rsidR="00231F20" w:rsidRPr="00231F20">
        <w:rPr>
          <w:rFonts w:ascii="Times New Roman" w:eastAsia="Times New Roman" w:hAnsi="Times New Roman" w:cs="Times New Roman"/>
          <w:i/>
          <w:sz w:val="24"/>
          <w:szCs w:val="24"/>
        </w:rPr>
        <w:t xml:space="preserve">Alternately, the practitioner may use a source document </w:t>
      </w:r>
      <w:r w:rsidR="00231F20">
        <w:rPr>
          <w:rFonts w:ascii="Times New Roman" w:eastAsia="Times New Roman" w:hAnsi="Times New Roman" w:cs="Times New Roman"/>
          <w:i/>
          <w:sz w:val="24"/>
          <w:szCs w:val="24"/>
        </w:rPr>
        <w:t xml:space="preserve">other than bank statements </w:t>
      </w:r>
      <w:r w:rsidR="00231F20" w:rsidRPr="00231F20">
        <w:rPr>
          <w:rFonts w:ascii="Times New Roman" w:eastAsia="Times New Roman" w:hAnsi="Times New Roman" w:cs="Times New Roman"/>
          <w:i/>
          <w:sz w:val="24"/>
          <w:szCs w:val="24"/>
        </w:rPr>
        <w:t>when selecting the deposit dates</w:t>
      </w:r>
      <w:r w:rsidR="00CB2295">
        <w:rPr>
          <w:rFonts w:ascii="Times New Roman" w:eastAsia="Times New Roman" w:hAnsi="Times New Roman" w:cs="Times New Roman"/>
          <w:i/>
          <w:sz w:val="24"/>
          <w:szCs w:val="24"/>
        </w:rPr>
        <w:t xml:space="preserve"> for testing</w:t>
      </w:r>
      <w:r w:rsidR="00231F20" w:rsidRPr="00231F20">
        <w:rPr>
          <w:rFonts w:ascii="Times New Roman" w:eastAsia="Times New Roman" w:hAnsi="Times New Roman" w:cs="Times New Roman"/>
          <w:i/>
          <w:sz w:val="24"/>
          <w:szCs w:val="24"/>
        </w:rPr>
        <w:t>, such as a cash collection log, daily revenue report, receipt book, etc.</w:t>
      </w:r>
      <w:r w:rsidR="00AB76D8" w:rsidRPr="00B67BC1">
        <w:rPr>
          <w:rFonts w:ascii="Times New Roman" w:eastAsia="Times New Roman" w:hAnsi="Times New Roman" w:cs="Times New Roman"/>
          <w:sz w:val="24"/>
          <w:szCs w:val="24"/>
        </w:rPr>
        <w:t xml:space="preserve">  Obtain supporting documentation for each of the 10 deposits</w:t>
      </w:r>
      <w:r w:rsidR="00B67BC1" w:rsidRPr="00B67BC1">
        <w:rPr>
          <w:rFonts w:ascii="Times New Roman" w:eastAsia="Times New Roman" w:hAnsi="Times New Roman" w:cs="Times New Roman"/>
          <w:sz w:val="24"/>
          <w:szCs w:val="24"/>
        </w:rPr>
        <w:t xml:space="preserve"> and</w:t>
      </w:r>
      <w:r w:rsidR="00B22261">
        <w:rPr>
          <w:rFonts w:ascii="Times New Roman" w:eastAsia="Times New Roman" w:hAnsi="Times New Roman" w:cs="Times New Roman"/>
          <w:sz w:val="24"/>
          <w:szCs w:val="24"/>
        </w:rPr>
        <w:t>:</w:t>
      </w:r>
    </w:p>
    <w:p w14:paraId="021B38F9" w14:textId="77777777" w:rsidR="00B22261" w:rsidRDefault="00B22261" w:rsidP="00B22261">
      <w:pPr>
        <w:numPr>
          <w:ilvl w:val="0"/>
          <w:numId w:val="36"/>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Observe </w:t>
      </w:r>
      <w:r w:rsidR="00EA42F6">
        <w:rPr>
          <w:rFonts w:ascii="Times New Roman" w:eastAsia="Calibri" w:hAnsi="Times New Roman" w:cs="Times New Roman"/>
          <w:sz w:val="24"/>
          <w:szCs w:val="24"/>
        </w:rPr>
        <w:t>that</w:t>
      </w:r>
      <w:r>
        <w:rPr>
          <w:rFonts w:ascii="Times New Roman" w:eastAsia="Calibri" w:hAnsi="Times New Roman" w:cs="Times New Roman"/>
          <w:sz w:val="24"/>
          <w:szCs w:val="24"/>
        </w:rPr>
        <w:t xml:space="preserve"> receipts are sequentially pre-numbered.</w:t>
      </w:r>
    </w:p>
    <w:p w14:paraId="696559AF" w14:textId="77777777" w:rsidR="00B22261" w:rsidRDefault="00B22261" w:rsidP="00B22261">
      <w:pPr>
        <w:numPr>
          <w:ilvl w:val="0"/>
          <w:numId w:val="36"/>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Trace sequentially pre-numbered receipts, system reports, </w:t>
      </w:r>
      <w:r w:rsidR="001338F5">
        <w:rPr>
          <w:rFonts w:ascii="Times New Roman" w:eastAsia="Calibri" w:hAnsi="Times New Roman" w:cs="Times New Roman"/>
          <w:sz w:val="24"/>
          <w:szCs w:val="24"/>
        </w:rPr>
        <w:t>and</w:t>
      </w:r>
      <w:r>
        <w:rPr>
          <w:rFonts w:ascii="Times New Roman" w:eastAsia="Calibri" w:hAnsi="Times New Roman" w:cs="Times New Roman"/>
          <w:sz w:val="24"/>
          <w:szCs w:val="24"/>
        </w:rPr>
        <w:t xml:space="preserve"> other related collection documentation to the deposit slip.</w:t>
      </w:r>
    </w:p>
    <w:p w14:paraId="702E7560" w14:textId="77777777" w:rsidR="00B22261" w:rsidRDefault="00B22261" w:rsidP="00B22261">
      <w:pPr>
        <w:numPr>
          <w:ilvl w:val="0"/>
          <w:numId w:val="36"/>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Trace the deposit slip total to the actual deposit per the bank statement.</w:t>
      </w:r>
    </w:p>
    <w:p w14:paraId="4159DCCF" w14:textId="6B969A0B" w:rsidR="00B22261" w:rsidRDefault="00B22261" w:rsidP="00B22261">
      <w:pPr>
        <w:numPr>
          <w:ilvl w:val="0"/>
          <w:numId w:val="36"/>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Observe the deposit was made within one </w:t>
      </w:r>
      <w:r w:rsidR="00A577A3">
        <w:rPr>
          <w:rFonts w:ascii="Times New Roman" w:eastAsia="Calibri" w:hAnsi="Times New Roman" w:cs="Times New Roman"/>
          <w:sz w:val="24"/>
          <w:szCs w:val="24"/>
        </w:rPr>
        <w:t xml:space="preserve">business </w:t>
      </w:r>
      <w:r>
        <w:rPr>
          <w:rFonts w:ascii="Times New Roman" w:eastAsia="Calibri" w:hAnsi="Times New Roman" w:cs="Times New Roman"/>
          <w:sz w:val="24"/>
          <w:szCs w:val="24"/>
        </w:rPr>
        <w:t xml:space="preserve">day of </w:t>
      </w:r>
      <w:r w:rsidR="00CB2295">
        <w:rPr>
          <w:rFonts w:ascii="Times New Roman" w:eastAsia="Calibri" w:hAnsi="Times New Roman" w:cs="Times New Roman"/>
          <w:sz w:val="24"/>
          <w:szCs w:val="24"/>
        </w:rPr>
        <w:t>receipt at the collection location</w:t>
      </w:r>
      <w:r>
        <w:rPr>
          <w:rFonts w:ascii="Times New Roman" w:eastAsia="Calibri" w:hAnsi="Times New Roman" w:cs="Times New Roman"/>
          <w:sz w:val="24"/>
          <w:szCs w:val="24"/>
        </w:rPr>
        <w:t xml:space="preserve"> (within one week </w:t>
      </w:r>
      <w:r w:rsidR="007C68EA">
        <w:rPr>
          <w:rFonts w:ascii="Times New Roman" w:eastAsia="Calibri" w:hAnsi="Times New Roman" w:cs="Times New Roman"/>
          <w:sz w:val="24"/>
          <w:szCs w:val="24"/>
        </w:rPr>
        <w:t>if the depository is more than 10</w:t>
      </w:r>
      <w:r>
        <w:rPr>
          <w:rFonts w:ascii="Times New Roman" w:eastAsia="Calibri" w:hAnsi="Times New Roman" w:cs="Times New Roman"/>
          <w:sz w:val="24"/>
          <w:szCs w:val="24"/>
        </w:rPr>
        <w:t xml:space="preserve"> miles from the collection location</w:t>
      </w:r>
      <w:r w:rsidR="007C68EA">
        <w:rPr>
          <w:rFonts w:ascii="Times New Roman" w:eastAsia="Calibri" w:hAnsi="Times New Roman" w:cs="Times New Roman"/>
          <w:sz w:val="24"/>
          <w:szCs w:val="24"/>
        </w:rPr>
        <w:t xml:space="preserve"> or the deposit is less than $100</w:t>
      </w:r>
      <w:r w:rsidR="00132A12">
        <w:rPr>
          <w:rFonts w:ascii="Times New Roman" w:eastAsia="Calibri" w:hAnsi="Times New Roman" w:cs="Times New Roman"/>
          <w:sz w:val="24"/>
          <w:szCs w:val="24"/>
        </w:rPr>
        <w:t xml:space="preserve"> and the cash is stored securely in a locked safe or drawer</w:t>
      </w:r>
      <w:r>
        <w:rPr>
          <w:rFonts w:ascii="Times New Roman" w:eastAsia="Calibri" w:hAnsi="Times New Roman" w:cs="Times New Roman"/>
          <w:sz w:val="24"/>
          <w:szCs w:val="24"/>
        </w:rPr>
        <w:t>).</w:t>
      </w:r>
    </w:p>
    <w:p w14:paraId="2F78D1A2" w14:textId="77777777" w:rsidR="00B22261" w:rsidRPr="00B22261" w:rsidRDefault="00B22261" w:rsidP="00B22261">
      <w:pPr>
        <w:numPr>
          <w:ilvl w:val="0"/>
          <w:numId w:val="36"/>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Trace the actual deposit per the bank statement to the general ledger.</w:t>
      </w:r>
    </w:p>
    <w:p w14:paraId="490F04EC" w14:textId="77777777" w:rsidR="007D679A" w:rsidRPr="00953B4A" w:rsidRDefault="007D679A" w:rsidP="00684C32">
      <w:pPr>
        <w:spacing w:after="0" w:line="240" w:lineRule="auto"/>
        <w:jc w:val="both"/>
        <w:rPr>
          <w:rFonts w:ascii="Times New Roman" w:eastAsia="Calibri" w:hAnsi="Times New Roman" w:cs="Times New Roman"/>
          <w:sz w:val="24"/>
          <w:szCs w:val="24"/>
        </w:rPr>
      </w:pPr>
    </w:p>
    <w:p w14:paraId="603CC01A" w14:textId="77777777" w:rsidR="00953B4A" w:rsidRPr="00953B4A" w:rsidRDefault="008019BC" w:rsidP="00684C32">
      <w:pPr>
        <w:pBdr>
          <w:bottom w:val="single" w:sz="4" w:space="1" w:color="auto"/>
        </w:pBdr>
        <w:spacing w:after="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Non-Payroll </w:t>
      </w:r>
      <w:r w:rsidR="00953B4A" w:rsidRPr="00953B4A">
        <w:rPr>
          <w:rFonts w:ascii="Times New Roman" w:eastAsia="Calibri" w:hAnsi="Times New Roman" w:cs="Times New Roman"/>
          <w:b/>
          <w:i/>
          <w:sz w:val="24"/>
          <w:szCs w:val="24"/>
        </w:rPr>
        <w:t xml:space="preserve">Disbursements </w:t>
      </w:r>
      <w:r w:rsidR="00937E63">
        <w:rPr>
          <w:rFonts w:ascii="Times New Roman" w:eastAsia="Calibri" w:hAnsi="Times New Roman" w:cs="Times New Roman"/>
          <w:b/>
          <w:i/>
          <w:sz w:val="24"/>
          <w:szCs w:val="24"/>
        </w:rPr>
        <w:t xml:space="preserve">(excluding </w:t>
      </w:r>
      <w:r>
        <w:rPr>
          <w:rFonts w:ascii="Times New Roman" w:eastAsia="Calibri" w:hAnsi="Times New Roman" w:cs="Times New Roman"/>
          <w:b/>
          <w:i/>
          <w:sz w:val="24"/>
          <w:szCs w:val="24"/>
        </w:rPr>
        <w:t>card</w:t>
      </w:r>
      <w:r w:rsidR="00937E63">
        <w:rPr>
          <w:rFonts w:ascii="Times New Roman" w:eastAsia="Calibri" w:hAnsi="Times New Roman" w:cs="Times New Roman"/>
          <w:b/>
          <w:i/>
          <w:sz w:val="24"/>
          <w:szCs w:val="24"/>
        </w:rPr>
        <w:t xml:space="preserve"> purchases</w:t>
      </w:r>
      <w:r>
        <w:rPr>
          <w:rFonts w:ascii="Times New Roman" w:eastAsia="Calibri" w:hAnsi="Times New Roman" w:cs="Times New Roman"/>
          <w:b/>
          <w:i/>
          <w:sz w:val="24"/>
          <w:szCs w:val="24"/>
        </w:rPr>
        <w:t>/</w:t>
      </w:r>
      <w:r w:rsidR="00937E63">
        <w:rPr>
          <w:rFonts w:ascii="Times New Roman" w:eastAsia="Calibri" w:hAnsi="Times New Roman" w:cs="Times New Roman"/>
          <w:b/>
          <w:i/>
          <w:sz w:val="24"/>
          <w:szCs w:val="24"/>
        </w:rPr>
        <w:t>payments</w:t>
      </w:r>
      <w:r w:rsidR="00890EB4">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travel reimbursements</w:t>
      </w:r>
      <w:r w:rsidR="00890EB4">
        <w:rPr>
          <w:rFonts w:ascii="Times New Roman" w:eastAsia="Calibri" w:hAnsi="Times New Roman" w:cs="Times New Roman"/>
          <w:b/>
          <w:i/>
          <w:sz w:val="24"/>
          <w:szCs w:val="24"/>
        </w:rPr>
        <w:t>, and petty cash purchases</w:t>
      </w:r>
      <w:r w:rsidR="00937E63">
        <w:rPr>
          <w:rFonts w:ascii="Times New Roman" w:eastAsia="Calibri" w:hAnsi="Times New Roman" w:cs="Times New Roman"/>
          <w:b/>
          <w:i/>
          <w:sz w:val="24"/>
          <w:szCs w:val="24"/>
        </w:rPr>
        <w:t>)</w:t>
      </w:r>
    </w:p>
    <w:p w14:paraId="15A294A4" w14:textId="77777777" w:rsidR="00953B4A" w:rsidRPr="00953B4A" w:rsidRDefault="00953B4A" w:rsidP="00684C32">
      <w:pPr>
        <w:spacing w:after="0"/>
        <w:jc w:val="both"/>
        <w:rPr>
          <w:rFonts w:ascii="Times New Roman" w:eastAsia="Calibri" w:hAnsi="Times New Roman" w:cs="Times New Roman"/>
          <w:b/>
          <w:i/>
          <w:sz w:val="24"/>
          <w:szCs w:val="24"/>
        </w:rPr>
      </w:pPr>
    </w:p>
    <w:p w14:paraId="192D2056" w14:textId="77777777" w:rsidR="00C54B58" w:rsidRDefault="00C54B58" w:rsidP="008019BC">
      <w:pPr>
        <w:numPr>
          <w:ilvl w:val="0"/>
          <w:numId w:val="10"/>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Obtain a listing of locations that process payments </w:t>
      </w:r>
      <w:r w:rsidR="00A577A3">
        <w:rPr>
          <w:rFonts w:ascii="Times New Roman" w:eastAsia="Calibri" w:hAnsi="Times New Roman" w:cs="Times New Roman"/>
          <w:sz w:val="24"/>
          <w:szCs w:val="24"/>
        </w:rPr>
        <w:t xml:space="preserve">for the fiscal period </w:t>
      </w:r>
      <w:r>
        <w:rPr>
          <w:rFonts w:ascii="Times New Roman" w:eastAsia="Calibri" w:hAnsi="Times New Roman" w:cs="Times New Roman"/>
          <w:sz w:val="24"/>
          <w:szCs w:val="24"/>
        </w:rPr>
        <w:t>and management’s representation that the listing is complete.  Randomly select 5 locations (or all locations if less than 5).</w:t>
      </w:r>
    </w:p>
    <w:p w14:paraId="733E4507" w14:textId="77777777" w:rsidR="008019BC" w:rsidRDefault="00C54B58" w:rsidP="008019BC">
      <w:pPr>
        <w:numPr>
          <w:ilvl w:val="0"/>
          <w:numId w:val="10"/>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For each location selected</w:t>
      </w:r>
      <w:r w:rsidR="00A577A3">
        <w:rPr>
          <w:rFonts w:ascii="Times New Roman" w:eastAsia="Calibri" w:hAnsi="Times New Roman" w:cs="Times New Roman"/>
          <w:sz w:val="24"/>
          <w:szCs w:val="24"/>
        </w:rPr>
        <w:t xml:space="preserve"> under #8 above</w:t>
      </w:r>
      <w:r>
        <w:rPr>
          <w:rFonts w:ascii="Times New Roman" w:eastAsia="Calibri" w:hAnsi="Times New Roman" w:cs="Times New Roman"/>
          <w:sz w:val="24"/>
          <w:szCs w:val="24"/>
        </w:rPr>
        <w:t>, o</w:t>
      </w:r>
      <w:r w:rsidR="008019BC">
        <w:rPr>
          <w:rFonts w:ascii="Times New Roman" w:eastAsia="Calibri" w:hAnsi="Times New Roman" w:cs="Times New Roman"/>
          <w:sz w:val="24"/>
          <w:szCs w:val="24"/>
        </w:rPr>
        <w:t>btai</w:t>
      </w:r>
      <w:r w:rsidR="005F7548">
        <w:rPr>
          <w:rFonts w:ascii="Times New Roman" w:eastAsia="Calibri" w:hAnsi="Times New Roman" w:cs="Times New Roman"/>
          <w:sz w:val="24"/>
          <w:szCs w:val="24"/>
        </w:rPr>
        <w:t>n a listing of those employees involved with non-payroll</w:t>
      </w:r>
      <w:r w:rsidR="008019BC">
        <w:rPr>
          <w:rFonts w:ascii="Times New Roman" w:eastAsia="Calibri" w:hAnsi="Times New Roman" w:cs="Times New Roman"/>
          <w:sz w:val="24"/>
          <w:szCs w:val="24"/>
        </w:rPr>
        <w:t xml:space="preserve"> purchasing and payment </w:t>
      </w:r>
      <w:r w:rsidR="005F7548">
        <w:rPr>
          <w:rFonts w:ascii="Times New Roman" w:eastAsia="Calibri" w:hAnsi="Times New Roman" w:cs="Times New Roman"/>
          <w:sz w:val="24"/>
          <w:szCs w:val="24"/>
        </w:rPr>
        <w:t>functions</w:t>
      </w:r>
      <w:r w:rsidR="008019BC">
        <w:rPr>
          <w:rFonts w:ascii="Times New Roman" w:eastAsia="Calibri" w:hAnsi="Times New Roman" w:cs="Times New Roman"/>
          <w:sz w:val="24"/>
          <w:szCs w:val="24"/>
        </w:rPr>
        <w:t>.  Obtain written policies and procedures relating to employee job duties</w:t>
      </w:r>
      <w:r w:rsidR="001518BB">
        <w:rPr>
          <w:rFonts w:ascii="Times New Roman" w:eastAsia="Calibri" w:hAnsi="Times New Roman" w:cs="Times New Roman"/>
          <w:sz w:val="24"/>
          <w:szCs w:val="24"/>
        </w:rPr>
        <w:t xml:space="preserve"> (if the agency has no written policies and procedures, </w:t>
      </w:r>
      <w:r w:rsidR="008019BC">
        <w:rPr>
          <w:rFonts w:ascii="Times New Roman" w:eastAsia="Calibri" w:hAnsi="Times New Roman" w:cs="Times New Roman"/>
          <w:sz w:val="24"/>
          <w:szCs w:val="24"/>
        </w:rPr>
        <w:t>inquire of employees about their job duties</w:t>
      </w:r>
      <w:r w:rsidR="001518BB">
        <w:rPr>
          <w:rFonts w:ascii="Times New Roman" w:eastAsia="Calibri" w:hAnsi="Times New Roman" w:cs="Times New Roman"/>
          <w:sz w:val="24"/>
          <w:szCs w:val="24"/>
        </w:rPr>
        <w:t>)</w:t>
      </w:r>
      <w:r w:rsidR="008019BC">
        <w:rPr>
          <w:rFonts w:ascii="Times New Roman" w:eastAsia="Calibri" w:hAnsi="Times New Roman" w:cs="Times New Roman"/>
          <w:sz w:val="24"/>
          <w:szCs w:val="24"/>
        </w:rPr>
        <w:t>, and observe that job duties are properly segregated such that:</w:t>
      </w:r>
    </w:p>
    <w:p w14:paraId="36EB09D1" w14:textId="77777777" w:rsidR="0055452B" w:rsidRDefault="0055452B" w:rsidP="008019BC">
      <w:pPr>
        <w:numPr>
          <w:ilvl w:val="0"/>
          <w:numId w:val="3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 least two employees are involved in initiating a purchase request, approving a purchase, and placing an order/making the purchase.</w:t>
      </w:r>
    </w:p>
    <w:p w14:paraId="71E45C88" w14:textId="77777777" w:rsidR="0055452B" w:rsidRDefault="0055452B" w:rsidP="008019BC">
      <w:pPr>
        <w:numPr>
          <w:ilvl w:val="0"/>
          <w:numId w:val="3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 least two employees are involved in processing and approving payments to vendors.</w:t>
      </w:r>
    </w:p>
    <w:p w14:paraId="60BEC3CB" w14:textId="77777777" w:rsidR="0055452B" w:rsidRDefault="0055452B" w:rsidP="008019BC">
      <w:pPr>
        <w:numPr>
          <w:ilvl w:val="0"/>
          <w:numId w:val="3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employee responsible for processing payments is prohibited from adding/modifying vendor files</w:t>
      </w:r>
      <w:r w:rsidR="009C57A5">
        <w:rPr>
          <w:rFonts w:ascii="Times New Roman" w:eastAsia="Calibri" w:hAnsi="Times New Roman" w:cs="Times New Roman"/>
          <w:sz w:val="24"/>
          <w:szCs w:val="24"/>
        </w:rPr>
        <w:t xml:space="preserve">, </w:t>
      </w:r>
      <w:r w:rsidRPr="00C61F98">
        <w:rPr>
          <w:rFonts w:ascii="Times New Roman" w:eastAsia="Calibri" w:hAnsi="Times New Roman" w:cs="Times New Roman"/>
          <w:sz w:val="24"/>
          <w:szCs w:val="24"/>
        </w:rPr>
        <w:t xml:space="preserve">unless </w:t>
      </w:r>
      <w:r w:rsidR="00C61F98" w:rsidRPr="00C61F98">
        <w:rPr>
          <w:rFonts w:ascii="Times New Roman" w:eastAsia="Calibri" w:hAnsi="Times New Roman" w:cs="Times New Roman"/>
          <w:sz w:val="24"/>
          <w:szCs w:val="24"/>
        </w:rPr>
        <w:t xml:space="preserve">another employee is responsible for periodically reviewing </w:t>
      </w:r>
      <w:r w:rsidR="00397921">
        <w:rPr>
          <w:rFonts w:ascii="Times New Roman" w:eastAsia="Calibri" w:hAnsi="Times New Roman" w:cs="Times New Roman"/>
          <w:sz w:val="24"/>
          <w:szCs w:val="24"/>
        </w:rPr>
        <w:t xml:space="preserve">changes to </w:t>
      </w:r>
      <w:r w:rsidR="00C61F98" w:rsidRPr="00C61F98">
        <w:rPr>
          <w:rFonts w:ascii="Times New Roman" w:eastAsia="Calibri" w:hAnsi="Times New Roman" w:cs="Times New Roman"/>
          <w:sz w:val="24"/>
          <w:szCs w:val="24"/>
        </w:rPr>
        <w:t xml:space="preserve">vendor </w:t>
      </w:r>
      <w:r w:rsidR="00397921">
        <w:rPr>
          <w:rFonts w:ascii="Times New Roman" w:eastAsia="Calibri" w:hAnsi="Times New Roman" w:cs="Times New Roman"/>
          <w:sz w:val="24"/>
          <w:szCs w:val="24"/>
        </w:rPr>
        <w:t>files</w:t>
      </w:r>
      <w:r w:rsidR="009C57A5">
        <w:rPr>
          <w:rFonts w:ascii="Times New Roman" w:eastAsia="Calibri" w:hAnsi="Times New Roman" w:cs="Times New Roman"/>
          <w:sz w:val="24"/>
          <w:szCs w:val="24"/>
        </w:rPr>
        <w:t>.</w:t>
      </w:r>
    </w:p>
    <w:p w14:paraId="116A1C4A" w14:textId="77777777" w:rsidR="00C61F98" w:rsidRDefault="00C61F98" w:rsidP="008019BC">
      <w:pPr>
        <w:numPr>
          <w:ilvl w:val="0"/>
          <w:numId w:val="3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Either the employee/official responsible for signing checks mails the payment or gives the signed checks to an employee to mail who is not responsible for processing payments.</w:t>
      </w:r>
    </w:p>
    <w:p w14:paraId="2ECBF8AF" w14:textId="23A0ECB5" w:rsidR="005567ED" w:rsidRDefault="005567ED" w:rsidP="005567ED">
      <w:pPr>
        <w:spacing w:after="120" w:line="240" w:lineRule="auto"/>
        <w:ind w:left="360"/>
        <w:jc w:val="both"/>
        <w:rPr>
          <w:rFonts w:ascii="Times New Roman" w:eastAsia="Calibri" w:hAnsi="Times New Roman" w:cs="Times New Roman"/>
          <w:sz w:val="24"/>
          <w:szCs w:val="24"/>
        </w:rPr>
      </w:pPr>
      <w:r w:rsidRPr="004C3816">
        <w:rPr>
          <w:rFonts w:ascii="Times New Roman" w:eastAsia="Calibri" w:hAnsi="Times New Roman" w:cs="Times New Roman"/>
          <w:sz w:val="24"/>
          <w:szCs w:val="24"/>
        </w:rPr>
        <w:t>[</w:t>
      </w:r>
      <w:r w:rsidRPr="00397921">
        <w:rPr>
          <w:rFonts w:ascii="Times New Roman" w:eastAsia="Calibri" w:hAnsi="Times New Roman" w:cs="Times New Roman"/>
          <w:sz w:val="24"/>
          <w:szCs w:val="24"/>
        </w:rPr>
        <w:t xml:space="preserve">Note: </w:t>
      </w:r>
      <w:r w:rsidR="006522CB">
        <w:rPr>
          <w:rFonts w:ascii="Times New Roman" w:eastAsia="Calibri" w:hAnsi="Times New Roman" w:cs="Times New Roman"/>
          <w:sz w:val="24"/>
          <w:szCs w:val="24"/>
        </w:rPr>
        <w:t>Exceptions to c</w:t>
      </w:r>
      <w:r>
        <w:rPr>
          <w:rFonts w:ascii="Times New Roman" w:eastAsia="Calibri" w:hAnsi="Times New Roman" w:cs="Times New Roman"/>
          <w:sz w:val="24"/>
          <w:szCs w:val="24"/>
        </w:rPr>
        <w:t>ontrols that</w:t>
      </w:r>
      <w:r w:rsidRPr="00397921">
        <w:rPr>
          <w:rFonts w:ascii="Times New Roman" w:eastAsia="Calibri" w:hAnsi="Times New Roman" w:cs="Times New Roman"/>
          <w:sz w:val="24"/>
          <w:szCs w:val="24"/>
        </w:rPr>
        <w:t xml:space="preserve"> constrain the legal authority of certain public officials (e.g., mayor of a Lawrason Act municipality) should not be reported.]</w:t>
      </w:r>
    </w:p>
    <w:p w14:paraId="62101515" w14:textId="7458BC84" w:rsidR="00261601" w:rsidRPr="00C36FD3" w:rsidRDefault="00C54B58" w:rsidP="008019BC">
      <w:pPr>
        <w:numPr>
          <w:ilvl w:val="0"/>
          <w:numId w:val="10"/>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For each location selected under #</w:t>
      </w:r>
      <w:r w:rsidR="00A577A3">
        <w:rPr>
          <w:rFonts w:ascii="Times New Roman" w:eastAsia="Calibri" w:hAnsi="Times New Roman" w:cs="Times New Roman"/>
          <w:sz w:val="24"/>
          <w:szCs w:val="24"/>
        </w:rPr>
        <w:t>8</w:t>
      </w:r>
      <w:r>
        <w:rPr>
          <w:rFonts w:ascii="Times New Roman" w:eastAsia="Calibri" w:hAnsi="Times New Roman" w:cs="Times New Roman"/>
          <w:sz w:val="24"/>
          <w:szCs w:val="24"/>
        </w:rPr>
        <w:t xml:space="preserve"> above, o</w:t>
      </w:r>
      <w:r w:rsidR="00DD0996">
        <w:rPr>
          <w:rFonts w:ascii="Times New Roman" w:eastAsia="Calibri" w:hAnsi="Times New Roman" w:cs="Times New Roman"/>
          <w:sz w:val="24"/>
          <w:szCs w:val="24"/>
        </w:rPr>
        <w:t xml:space="preserve">btain the entity’s non-payroll disbursement </w:t>
      </w:r>
      <w:r w:rsidR="00B61F0A">
        <w:rPr>
          <w:rFonts w:ascii="Times New Roman" w:eastAsia="Calibri" w:hAnsi="Times New Roman" w:cs="Times New Roman"/>
          <w:sz w:val="24"/>
          <w:szCs w:val="24"/>
        </w:rPr>
        <w:t xml:space="preserve">transaction </w:t>
      </w:r>
      <w:r w:rsidR="00DD0996">
        <w:rPr>
          <w:rFonts w:ascii="Times New Roman" w:eastAsia="Calibri" w:hAnsi="Times New Roman" w:cs="Times New Roman"/>
          <w:sz w:val="24"/>
          <w:szCs w:val="24"/>
        </w:rPr>
        <w:t>population</w:t>
      </w:r>
      <w:r w:rsidR="008019BC">
        <w:rPr>
          <w:rFonts w:ascii="Times New Roman" w:eastAsia="Calibri" w:hAnsi="Times New Roman" w:cs="Times New Roman"/>
          <w:sz w:val="24"/>
          <w:szCs w:val="24"/>
        </w:rPr>
        <w:t xml:space="preserve"> (excluding cards and travel reimbursements)</w:t>
      </w:r>
      <w:r w:rsidR="00E22C59">
        <w:rPr>
          <w:rFonts w:ascii="Times New Roman" w:eastAsia="Calibri" w:hAnsi="Times New Roman" w:cs="Times New Roman"/>
          <w:sz w:val="24"/>
          <w:szCs w:val="24"/>
        </w:rPr>
        <w:t xml:space="preserve"> </w:t>
      </w:r>
      <w:r w:rsidR="008019BC">
        <w:rPr>
          <w:rFonts w:ascii="Times New Roman" w:eastAsia="Calibri" w:hAnsi="Times New Roman" w:cs="Times New Roman"/>
          <w:sz w:val="24"/>
          <w:szCs w:val="24"/>
        </w:rPr>
        <w:t>and o</w:t>
      </w:r>
      <w:r w:rsidR="00261601">
        <w:rPr>
          <w:rFonts w:ascii="Times New Roman" w:eastAsia="Calibri" w:hAnsi="Times New Roman" w:cs="Times New Roman"/>
          <w:sz w:val="24"/>
          <w:szCs w:val="24"/>
        </w:rPr>
        <w:t xml:space="preserve">btain management’s representation that the </w:t>
      </w:r>
      <w:r w:rsidR="00937E63">
        <w:rPr>
          <w:rFonts w:ascii="Times New Roman" w:eastAsia="Calibri" w:hAnsi="Times New Roman" w:cs="Times New Roman"/>
          <w:sz w:val="24"/>
          <w:szCs w:val="24"/>
        </w:rPr>
        <w:t xml:space="preserve">population </w:t>
      </w:r>
      <w:r w:rsidR="00261601">
        <w:rPr>
          <w:rFonts w:ascii="Times New Roman" w:eastAsia="Calibri" w:hAnsi="Times New Roman" w:cs="Times New Roman"/>
          <w:sz w:val="24"/>
          <w:szCs w:val="24"/>
        </w:rPr>
        <w:t>is complete.</w:t>
      </w:r>
      <w:r w:rsidR="008019BC">
        <w:rPr>
          <w:rFonts w:ascii="Times New Roman" w:eastAsia="Calibri" w:hAnsi="Times New Roman" w:cs="Times New Roman"/>
          <w:sz w:val="24"/>
          <w:szCs w:val="24"/>
        </w:rPr>
        <w:t xml:space="preserve">  Randomly select </w:t>
      </w:r>
      <w:r w:rsidR="00CF3796">
        <w:rPr>
          <w:rFonts w:ascii="Times New Roman" w:eastAsia="Calibri" w:hAnsi="Times New Roman" w:cs="Times New Roman"/>
          <w:sz w:val="24"/>
          <w:szCs w:val="24"/>
        </w:rPr>
        <w:t>5</w:t>
      </w:r>
      <w:r w:rsidR="008019BC">
        <w:rPr>
          <w:rFonts w:ascii="Times New Roman" w:eastAsia="Calibri" w:hAnsi="Times New Roman" w:cs="Times New Roman"/>
          <w:sz w:val="24"/>
          <w:szCs w:val="24"/>
        </w:rPr>
        <w:t xml:space="preserve"> disbursements</w:t>
      </w:r>
      <w:r>
        <w:rPr>
          <w:rFonts w:ascii="Times New Roman" w:eastAsia="Calibri" w:hAnsi="Times New Roman" w:cs="Times New Roman"/>
          <w:sz w:val="24"/>
          <w:szCs w:val="24"/>
        </w:rPr>
        <w:t xml:space="preserve"> for each location</w:t>
      </w:r>
      <w:r w:rsidR="008019BC">
        <w:rPr>
          <w:rFonts w:ascii="Times New Roman" w:eastAsia="Calibri" w:hAnsi="Times New Roman" w:cs="Times New Roman"/>
          <w:sz w:val="24"/>
          <w:szCs w:val="24"/>
        </w:rPr>
        <w:t xml:space="preserve">, obtain </w:t>
      </w:r>
      <w:r w:rsidR="008019BC" w:rsidRPr="00C36FD3">
        <w:rPr>
          <w:rFonts w:ascii="Times New Roman" w:eastAsia="Calibri" w:hAnsi="Times New Roman" w:cs="Times New Roman"/>
          <w:sz w:val="24"/>
          <w:szCs w:val="24"/>
        </w:rPr>
        <w:t xml:space="preserve">supporting documentation for </w:t>
      </w:r>
      <w:r w:rsidR="00890EB4" w:rsidRPr="00C36FD3">
        <w:rPr>
          <w:rFonts w:ascii="Times New Roman" w:eastAsia="Calibri" w:hAnsi="Times New Roman" w:cs="Times New Roman"/>
          <w:sz w:val="24"/>
          <w:szCs w:val="24"/>
        </w:rPr>
        <w:t>each transaction</w:t>
      </w:r>
      <w:r w:rsidR="00772411">
        <w:rPr>
          <w:rFonts w:ascii="Times New Roman" w:eastAsia="Calibri" w:hAnsi="Times New Roman" w:cs="Times New Roman"/>
          <w:sz w:val="24"/>
          <w:szCs w:val="24"/>
        </w:rPr>
        <w:t>,</w:t>
      </w:r>
      <w:r w:rsidR="008019BC" w:rsidRPr="00C36FD3">
        <w:rPr>
          <w:rFonts w:ascii="Times New Roman" w:eastAsia="Calibri" w:hAnsi="Times New Roman" w:cs="Times New Roman"/>
          <w:sz w:val="24"/>
          <w:szCs w:val="24"/>
        </w:rPr>
        <w:t xml:space="preserve"> and:</w:t>
      </w:r>
    </w:p>
    <w:p w14:paraId="55C847C3" w14:textId="571853BC" w:rsidR="00425BD7" w:rsidRPr="0096411C" w:rsidRDefault="00890EB4" w:rsidP="00425BD7">
      <w:pPr>
        <w:numPr>
          <w:ilvl w:val="0"/>
          <w:numId w:val="38"/>
        </w:numPr>
        <w:spacing w:after="120" w:line="240" w:lineRule="auto"/>
        <w:jc w:val="both"/>
        <w:rPr>
          <w:rFonts w:ascii="Times New Roman" w:eastAsia="Calibri" w:hAnsi="Times New Roman" w:cs="Times New Roman"/>
          <w:sz w:val="24"/>
          <w:szCs w:val="24"/>
        </w:rPr>
      </w:pPr>
      <w:r w:rsidRPr="00C36FD3">
        <w:rPr>
          <w:rFonts w:ascii="Times New Roman" w:eastAsia="Calibri" w:hAnsi="Times New Roman" w:cs="Times New Roman"/>
          <w:sz w:val="24"/>
          <w:szCs w:val="24"/>
        </w:rPr>
        <w:t>Observe</w:t>
      </w:r>
      <w:r w:rsidR="00233A26">
        <w:rPr>
          <w:rFonts w:ascii="Times New Roman" w:eastAsia="Calibri" w:hAnsi="Times New Roman" w:cs="Times New Roman"/>
          <w:sz w:val="24"/>
          <w:szCs w:val="24"/>
        </w:rPr>
        <w:t xml:space="preserve"> whether</w:t>
      </w:r>
      <w:r w:rsidRPr="00C36FD3">
        <w:rPr>
          <w:rFonts w:ascii="Times New Roman" w:eastAsia="Calibri" w:hAnsi="Times New Roman" w:cs="Times New Roman"/>
          <w:sz w:val="24"/>
          <w:szCs w:val="24"/>
        </w:rPr>
        <w:t xml:space="preserve"> the disbursement matched the related </w:t>
      </w:r>
      <w:r w:rsidR="00425BD7" w:rsidRPr="00C36FD3">
        <w:rPr>
          <w:rFonts w:ascii="Times New Roman" w:eastAsia="Calibri" w:hAnsi="Times New Roman" w:cs="Times New Roman"/>
          <w:sz w:val="24"/>
          <w:szCs w:val="24"/>
        </w:rPr>
        <w:t xml:space="preserve">original </w:t>
      </w:r>
      <w:r w:rsidR="00425BD7" w:rsidRPr="0096411C">
        <w:rPr>
          <w:rFonts w:ascii="Times New Roman" w:eastAsia="Calibri" w:hAnsi="Times New Roman" w:cs="Times New Roman"/>
          <w:sz w:val="24"/>
          <w:szCs w:val="24"/>
        </w:rPr>
        <w:t xml:space="preserve">itemized invoice and </w:t>
      </w:r>
      <w:r w:rsidR="005815A5" w:rsidRPr="005815A5">
        <w:rPr>
          <w:rFonts w:ascii="Times New Roman" w:eastAsia="Calibri" w:hAnsi="Times New Roman" w:cs="Times New Roman"/>
          <w:sz w:val="24"/>
          <w:szCs w:val="24"/>
        </w:rPr>
        <w:t>supporting documentation indicates deliverables included on the invoice were received by the entity</w:t>
      </w:r>
      <w:r w:rsidR="00425BD7" w:rsidRPr="0096411C">
        <w:rPr>
          <w:rFonts w:ascii="Times New Roman" w:eastAsia="Calibri" w:hAnsi="Times New Roman" w:cs="Times New Roman"/>
          <w:sz w:val="24"/>
          <w:szCs w:val="24"/>
        </w:rPr>
        <w:t>.</w:t>
      </w:r>
    </w:p>
    <w:p w14:paraId="5CB2A1AE" w14:textId="55D59705" w:rsidR="00890EB4" w:rsidRDefault="00890EB4" w:rsidP="00DA3E94">
      <w:pPr>
        <w:pStyle w:val="ListParagraph"/>
        <w:numPr>
          <w:ilvl w:val="0"/>
          <w:numId w:val="38"/>
        </w:numPr>
        <w:jc w:val="both"/>
        <w:rPr>
          <w:rFonts w:eastAsia="Calibri"/>
        </w:rPr>
      </w:pPr>
      <w:r>
        <w:rPr>
          <w:rFonts w:eastAsia="Calibri"/>
        </w:rPr>
        <w:t>Observe</w:t>
      </w:r>
      <w:r w:rsidR="00233A26">
        <w:rPr>
          <w:rFonts w:eastAsia="Calibri"/>
        </w:rPr>
        <w:t xml:space="preserve"> whether</w:t>
      </w:r>
      <w:r>
        <w:rPr>
          <w:rFonts w:eastAsia="Calibri"/>
        </w:rPr>
        <w:t xml:space="preserve"> the disbursement docum</w:t>
      </w:r>
      <w:r w:rsidR="001C40B6">
        <w:rPr>
          <w:rFonts w:eastAsia="Calibri"/>
        </w:rPr>
        <w:t>entation included evidence (e.g.,</w:t>
      </w:r>
      <w:r>
        <w:rPr>
          <w:rFonts w:eastAsia="Calibri"/>
        </w:rPr>
        <w:t xml:space="preserve"> initial/date</w:t>
      </w:r>
      <w:r w:rsidR="001C40B6">
        <w:rPr>
          <w:rFonts w:eastAsia="Calibri"/>
        </w:rPr>
        <w:t>, electronic logging</w:t>
      </w:r>
      <w:r>
        <w:rPr>
          <w:rFonts w:eastAsia="Calibri"/>
        </w:rPr>
        <w:t>) of segreg</w:t>
      </w:r>
      <w:r w:rsidR="00B61F0A">
        <w:rPr>
          <w:rFonts w:eastAsia="Calibri"/>
        </w:rPr>
        <w:t>ation of duties tested under #</w:t>
      </w:r>
      <w:r w:rsidR="00C54B58">
        <w:rPr>
          <w:rFonts w:eastAsia="Calibri"/>
        </w:rPr>
        <w:t>9</w:t>
      </w:r>
      <w:r w:rsidR="00B61F0A">
        <w:rPr>
          <w:rFonts w:eastAsia="Calibri"/>
        </w:rPr>
        <w:t>, as applicable.</w:t>
      </w:r>
    </w:p>
    <w:p w14:paraId="4BF1883F" w14:textId="77777777" w:rsidR="007D679A" w:rsidRPr="009C283F" w:rsidRDefault="007D679A" w:rsidP="00684C32">
      <w:pPr>
        <w:pStyle w:val="ListParagraph"/>
        <w:ind w:left="0"/>
        <w:jc w:val="both"/>
        <w:rPr>
          <w:rFonts w:eastAsia="Calibri"/>
          <w:szCs w:val="24"/>
        </w:rPr>
      </w:pPr>
    </w:p>
    <w:p w14:paraId="0C04B248" w14:textId="77777777" w:rsidR="00823086" w:rsidRPr="009C283F" w:rsidRDefault="00823086" w:rsidP="00823086">
      <w:pPr>
        <w:pBdr>
          <w:bottom w:val="single" w:sz="4" w:space="1" w:color="auto"/>
        </w:pBdr>
        <w:spacing w:after="0" w:line="240" w:lineRule="auto"/>
        <w:rPr>
          <w:rFonts w:ascii="Times New Roman" w:eastAsia="Times New Roman" w:hAnsi="Times New Roman" w:cs="Times New Roman"/>
          <w:b/>
          <w:i/>
          <w:sz w:val="24"/>
          <w:szCs w:val="24"/>
        </w:rPr>
      </w:pPr>
      <w:r w:rsidRPr="009C283F">
        <w:rPr>
          <w:rFonts w:ascii="Times New Roman" w:eastAsia="Times New Roman" w:hAnsi="Times New Roman" w:cs="Times New Roman"/>
          <w:b/>
          <w:i/>
          <w:sz w:val="24"/>
          <w:szCs w:val="24"/>
        </w:rPr>
        <w:t>Credit</w:t>
      </w:r>
      <w:r w:rsidR="00F672A4">
        <w:rPr>
          <w:rFonts w:ascii="Times New Roman" w:eastAsia="Times New Roman" w:hAnsi="Times New Roman" w:cs="Times New Roman"/>
          <w:b/>
          <w:i/>
          <w:sz w:val="24"/>
          <w:szCs w:val="24"/>
        </w:rPr>
        <w:t xml:space="preserve"> Cards</w:t>
      </w:r>
      <w:r w:rsidR="00A72C86">
        <w:rPr>
          <w:rFonts w:ascii="Times New Roman" w:eastAsia="Times New Roman" w:hAnsi="Times New Roman" w:cs="Times New Roman"/>
          <w:b/>
          <w:i/>
          <w:sz w:val="24"/>
          <w:szCs w:val="24"/>
        </w:rPr>
        <w:t>/Debit</w:t>
      </w:r>
      <w:r w:rsidR="00F672A4">
        <w:rPr>
          <w:rFonts w:ascii="Times New Roman" w:eastAsia="Times New Roman" w:hAnsi="Times New Roman" w:cs="Times New Roman"/>
          <w:b/>
          <w:i/>
          <w:sz w:val="24"/>
          <w:szCs w:val="24"/>
        </w:rPr>
        <w:t xml:space="preserve"> Cards</w:t>
      </w:r>
      <w:r w:rsidR="004C34C3">
        <w:rPr>
          <w:rFonts w:ascii="Times New Roman" w:eastAsia="Times New Roman" w:hAnsi="Times New Roman" w:cs="Times New Roman"/>
          <w:b/>
          <w:i/>
          <w:sz w:val="24"/>
          <w:szCs w:val="24"/>
        </w:rPr>
        <w:t>/Fuel</w:t>
      </w:r>
      <w:r w:rsidRPr="009C283F">
        <w:rPr>
          <w:rFonts w:ascii="Times New Roman" w:eastAsia="Times New Roman" w:hAnsi="Times New Roman" w:cs="Times New Roman"/>
          <w:b/>
          <w:i/>
          <w:sz w:val="24"/>
          <w:szCs w:val="24"/>
        </w:rPr>
        <w:t xml:space="preserve"> Cards</w:t>
      </w:r>
      <w:r w:rsidR="00F672A4">
        <w:rPr>
          <w:rFonts w:ascii="Times New Roman" w:eastAsia="Times New Roman" w:hAnsi="Times New Roman" w:cs="Times New Roman"/>
          <w:b/>
          <w:i/>
          <w:sz w:val="24"/>
          <w:szCs w:val="24"/>
        </w:rPr>
        <w:t>/P-Cards</w:t>
      </w:r>
    </w:p>
    <w:p w14:paraId="2B381C05" w14:textId="77777777" w:rsidR="00823086" w:rsidRPr="009C283F" w:rsidRDefault="00823086" w:rsidP="00823086">
      <w:pPr>
        <w:spacing w:after="0" w:line="240" w:lineRule="auto"/>
        <w:rPr>
          <w:rFonts w:ascii="Times New Roman" w:eastAsia="Times New Roman" w:hAnsi="Times New Roman" w:cs="Times New Roman"/>
          <w:b/>
          <w:i/>
          <w:sz w:val="24"/>
          <w:szCs w:val="24"/>
        </w:rPr>
      </w:pPr>
    </w:p>
    <w:p w14:paraId="2297B792" w14:textId="77777777" w:rsidR="00684C32" w:rsidRDefault="00823086" w:rsidP="00A54BEA">
      <w:pPr>
        <w:numPr>
          <w:ilvl w:val="0"/>
          <w:numId w:val="10"/>
        </w:numPr>
        <w:spacing w:after="120" w:line="240" w:lineRule="auto"/>
        <w:jc w:val="both"/>
        <w:rPr>
          <w:rFonts w:ascii="Times New Roman" w:eastAsia="Calibri" w:hAnsi="Times New Roman" w:cs="Times New Roman"/>
          <w:sz w:val="24"/>
          <w:szCs w:val="24"/>
        </w:rPr>
      </w:pPr>
      <w:r w:rsidRPr="00684C32">
        <w:rPr>
          <w:rFonts w:ascii="Times New Roman" w:eastAsia="Calibri" w:hAnsi="Times New Roman" w:cs="Times New Roman"/>
          <w:sz w:val="24"/>
          <w:szCs w:val="24"/>
        </w:rPr>
        <w:t>Obtain from management a listing of all active credit cards</w:t>
      </w:r>
      <w:r w:rsidR="004C34C3">
        <w:rPr>
          <w:rFonts w:ascii="Times New Roman" w:eastAsia="Calibri" w:hAnsi="Times New Roman" w:cs="Times New Roman"/>
          <w:sz w:val="24"/>
          <w:szCs w:val="24"/>
        </w:rPr>
        <w:t>,</w:t>
      </w:r>
      <w:r w:rsidRPr="00684C32">
        <w:rPr>
          <w:rFonts w:ascii="Times New Roman" w:eastAsia="Calibri" w:hAnsi="Times New Roman" w:cs="Times New Roman"/>
          <w:sz w:val="24"/>
          <w:szCs w:val="24"/>
        </w:rPr>
        <w:t xml:space="preserve"> bank debit cards</w:t>
      </w:r>
      <w:r w:rsidR="004C34C3">
        <w:rPr>
          <w:rFonts w:ascii="Times New Roman" w:eastAsia="Calibri" w:hAnsi="Times New Roman" w:cs="Times New Roman"/>
          <w:sz w:val="24"/>
          <w:szCs w:val="24"/>
        </w:rPr>
        <w:t>, fuel cards</w:t>
      </w:r>
      <w:r w:rsidR="00F672A4">
        <w:rPr>
          <w:rFonts w:ascii="Times New Roman" w:eastAsia="Calibri" w:hAnsi="Times New Roman" w:cs="Times New Roman"/>
          <w:sz w:val="24"/>
          <w:szCs w:val="24"/>
        </w:rPr>
        <w:t>, and P-cards (cards)</w:t>
      </w:r>
      <w:r w:rsidR="00A577A3">
        <w:rPr>
          <w:rFonts w:ascii="Times New Roman" w:eastAsia="Calibri" w:hAnsi="Times New Roman" w:cs="Times New Roman"/>
          <w:sz w:val="24"/>
          <w:szCs w:val="24"/>
        </w:rPr>
        <w:t xml:space="preserve"> for the fiscal period</w:t>
      </w:r>
      <w:r w:rsidRPr="00684C32">
        <w:rPr>
          <w:rFonts w:ascii="Times New Roman" w:eastAsia="Calibri" w:hAnsi="Times New Roman" w:cs="Times New Roman"/>
          <w:sz w:val="24"/>
          <w:szCs w:val="24"/>
        </w:rPr>
        <w:t xml:space="preserve">, including the card numbers and the names of the persons </w:t>
      </w:r>
      <w:r w:rsidRPr="00684C32">
        <w:rPr>
          <w:rFonts w:ascii="Times New Roman" w:eastAsia="Calibri" w:hAnsi="Times New Roman" w:cs="Times New Roman"/>
          <w:sz w:val="24"/>
          <w:szCs w:val="24"/>
        </w:rPr>
        <w:lastRenderedPageBreak/>
        <w:t>who maint</w:t>
      </w:r>
      <w:r w:rsidR="00684C32">
        <w:rPr>
          <w:rFonts w:ascii="Times New Roman" w:eastAsia="Calibri" w:hAnsi="Times New Roman" w:cs="Times New Roman"/>
          <w:sz w:val="24"/>
          <w:szCs w:val="24"/>
        </w:rPr>
        <w:t>ained possession of the cards</w:t>
      </w:r>
      <w:r w:rsidR="00632BE4">
        <w:rPr>
          <w:rStyle w:val="FootnoteReference"/>
          <w:rFonts w:ascii="Times New Roman" w:eastAsia="Calibri" w:hAnsi="Times New Roman" w:cs="Times New Roman"/>
          <w:sz w:val="24"/>
          <w:szCs w:val="24"/>
        </w:rPr>
        <w:footnoteReference w:id="14"/>
      </w:r>
      <w:r w:rsidR="00684C32">
        <w:rPr>
          <w:rFonts w:ascii="Times New Roman" w:eastAsia="Calibri" w:hAnsi="Times New Roman" w:cs="Times New Roman"/>
          <w:sz w:val="24"/>
          <w:szCs w:val="24"/>
        </w:rPr>
        <w:t>.</w:t>
      </w:r>
      <w:r w:rsidR="00261601">
        <w:rPr>
          <w:rFonts w:ascii="Times New Roman" w:eastAsia="Calibri" w:hAnsi="Times New Roman" w:cs="Times New Roman"/>
          <w:sz w:val="24"/>
          <w:szCs w:val="24"/>
        </w:rPr>
        <w:t xml:space="preserve">  Obtain management’s representation that the listing is complete.</w:t>
      </w:r>
    </w:p>
    <w:p w14:paraId="316A2804" w14:textId="77777777" w:rsidR="004C3816" w:rsidRPr="000C4DF8" w:rsidRDefault="00F672A4" w:rsidP="00A54BEA">
      <w:pPr>
        <w:numPr>
          <w:ilvl w:val="0"/>
          <w:numId w:val="10"/>
        </w:numPr>
        <w:spacing w:after="120" w:line="240" w:lineRule="auto"/>
        <w:jc w:val="both"/>
        <w:rPr>
          <w:rFonts w:ascii="Times New Roman" w:eastAsia="Calibri" w:hAnsi="Times New Roman" w:cs="Times New Roman"/>
          <w:sz w:val="24"/>
          <w:szCs w:val="24"/>
        </w:rPr>
      </w:pPr>
      <w:r w:rsidRPr="000C4DF8">
        <w:rPr>
          <w:rFonts w:ascii="Times New Roman" w:eastAsia="Calibri" w:hAnsi="Times New Roman" w:cs="Times New Roman"/>
          <w:sz w:val="24"/>
          <w:szCs w:val="24"/>
        </w:rPr>
        <w:t>Using the listing prepared by management, randomly select</w:t>
      </w:r>
      <w:r w:rsidR="00A646AC">
        <w:rPr>
          <w:rFonts w:ascii="Times New Roman" w:eastAsia="Calibri" w:hAnsi="Times New Roman" w:cs="Times New Roman"/>
          <w:sz w:val="24"/>
          <w:szCs w:val="24"/>
        </w:rPr>
        <w:t xml:space="preserve"> </w:t>
      </w:r>
      <w:r w:rsidR="000C4DF8" w:rsidRPr="000C4DF8">
        <w:rPr>
          <w:rFonts w:ascii="Times New Roman" w:eastAsia="Calibri" w:hAnsi="Times New Roman" w:cs="Times New Roman"/>
          <w:sz w:val="24"/>
          <w:szCs w:val="24"/>
        </w:rPr>
        <w:t>5</w:t>
      </w:r>
      <w:r w:rsidRPr="000C4DF8">
        <w:rPr>
          <w:rFonts w:ascii="Times New Roman" w:eastAsia="Calibri" w:hAnsi="Times New Roman" w:cs="Times New Roman"/>
          <w:sz w:val="24"/>
          <w:szCs w:val="24"/>
        </w:rPr>
        <w:t xml:space="preserve"> cards</w:t>
      </w:r>
      <w:r w:rsidR="00845BF4">
        <w:rPr>
          <w:rFonts w:ascii="Times New Roman" w:eastAsia="Calibri" w:hAnsi="Times New Roman" w:cs="Times New Roman"/>
          <w:sz w:val="24"/>
          <w:szCs w:val="24"/>
        </w:rPr>
        <w:t xml:space="preserve"> (or all cards if less than 5)</w:t>
      </w:r>
      <w:r w:rsidRPr="000C4DF8">
        <w:rPr>
          <w:rFonts w:ascii="Times New Roman" w:eastAsia="Calibri" w:hAnsi="Times New Roman" w:cs="Times New Roman"/>
          <w:sz w:val="24"/>
          <w:szCs w:val="24"/>
        </w:rPr>
        <w:t xml:space="preserve"> that were used during the fiscal period.</w:t>
      </w:r>
      <w:r w:rsidR="00264308" w:rsidRPr="000C4DF8">
        <w:rPr>
          <w:rFonts w:ascii="Times New Roman" w:eastAsia="Calibri" w:hAnsi="Times New Roman" w:cs="Times New Roman"/>
          <w:sz w:val="24"/>
          <w:szCs w:val="24"/>
        </w:rPr>
        <w:t xml:space="preserve">  </w:t>
      </w:r>
      <w:r w:rsidR="00397921">
        <w:rPr>
          <w:rFonts w:ascii="Times New Roman" w:eastAsia="Calibri" w:hAnsi="Times New Roman" w:cs="Times New Roman"/>
          <w:sz w:val="24"/>
          <w:szCs w:val="24"/>
        </w:rPr>
        <w:t>Randomly s</w:t>
      </w:r>
      <w:r w:rsidR="00397921" w:rsidRPr="000C4DF8">
        <w:rPr>
          <w:rFonts w:ascii="Times New Roman" w:eastAsia="Calibri" w:hAnsi="Times New Roman" w:cs="Times New Roman"/>
          <w:sz w:val="24"/>
          <w:szCs w:val="24"/>
        </w:rPr>
        <w:t xml:space="preserve">elect </w:t>
      </w:r>
      <w:r w:rsidR="00397921">
        <w:rPr>
          <w:rFonts w:ascii="Times New Roman" w:eastAsia="Calibri" w:hAnsi="Times New Roman" w:cs="Times New Roman"/>
          <w:sz w:val="24"/>
          <w:szCs w:val="24"/>
        </w:rPr>
        <w:t xml:space="preserve">one </w:t>
      </w:r>
      <w:r w:rsidR="00397921" w:rsidRPr="000C4DF8">
        <w:rPr>
          <w:rFonts w:ascii="Times New Roman" w:eastAsia="Calibri" w:hAnsi="Times New Roman" w:cs="Times New Roman"/>
          <w:sz w:val="24"/>
          <w:szCs w:val="24"/>
        </w:rPr>
        <w:t xml:space="preserve">monthly statement or combined statement </w:t>
      </w:r>
      <w:r w:rsidR="00397921">
        <w:rPr>
          <w:rFonts w:ascii="Times New Roman" w:eastAsia="Calibri" w:hAnsi="Times New Roman" w:cs="Times New Roman"/>
          <w:sz w:val="24"/>
          <w:szCs w:val="24"/>
        </w:rPr>
        <w:t>for ea</w:t>
      </w:r>
      <w:r w:rsidR="00397921" w:rsidRPr="000C4DF8">
        <w:rPr>
          <w:rFonts w:ascii="Times New Roman" w:eastAsia="Calibri" w:hAnsi="Times New Roman" w:cs="Times New Roman"/>
          <w:sz w:val="24"/>
          <w:szCs w:val="24"/>
        </w:rPr>
        <w:t xml:space="preserve">ch card (for a debit card, </w:t>
      </w:r>
      <w:r w:rsidR="00397921">
        <w:rPr>
          <w:rFonts w:ascii="Times New Roman" w:eastAsia="Calibri" w:hAnsi="Times New Roman" w:cs="Times New Roman"/>
          <w:sz w:val="24"/>
          <w:szCs w:val="24"/>
        </w:rPr>
        <w:t xml:space="preserve">randomly </w:t>
      </w:r>
      <w:r w:rsidR="00397921" w:rsidRPr="000C4DF8">
        <w:rPr>
          <w:rFonts w:ascii="Times New Roman" w:eastAsia="Calibri" w:hAnsi="Times New Roman" w:cs="Times New Roman"/>
          <w:sz w:val="24"/>
          <w:szCs w:val="24"/>
        </w:rPr>
        <w:t xml:space="preserve">select </w:t>
      </w:r>
      <w:r w:rsidR="00397921">
        <w:rPr>
          <w:rFonts w:ascii="Times New Roman" w:eastAsia="Calibri" w:hAnsi="Times New Roman" w:cs="Times New Roman"/>
          <w:sz w:val="24"/>
          <w:szCs w:val="24"/>
        </w:rPr>
        <w:t>one</w:t>
      </w:r>
      <w:r w:rsidR="00397921" w:rsidRPr="000C4DF8">
        <w:rPr>
          <w:rFonts w:ascii="Times New Roman" w:eastAsia="Calibri" w:hAnsi="Times New Roman" w:cs="Times New Roman"/>
          <w:sz w:val="24"/>
          <w:szCs w:val="24"/>
        </w:rPr>
        <w:t xml:space="preserve"> monthly bank statement</w:t>
      </w:r>
      <w:r w:rsidR="00EA42F6">
        <w:rPr>
          <w:rFonts w:ascii="Times New Roman" w:eastAsia="Calibri" w:hAnsi="Times New Roman" w:cs="Times New Roman"/>
          <w:sz w:val="24"/>
          <w:szCs w:val="24"/>
        </w:rPr>
        <w:t>), obtain</w:t>
      </w:r>
      <w:r w:rsidR="00397921">
        <w:rPr>
          <w:rFonts w:ascii="Times New Roman" w:eastAsia="Calibri" w:hAnsi="Times New Roman" w:cs="Times New Roman"/>
          <w:sz w:val="24"/>
          <w:szCs w:val="24"/>
        </w:rPr>
        <w:t xml:space="preserve"> supporting documentation, and</w:t>
      </w:r>
      <w:r w:rsidR="00FD767C" w:rsidRPr="000C4DF8">
        <w:rPr>
          <w:rFonts w:ascii="Times New Roman" w:eastAsia="Calibri" w:hAnsi="Times New Roman" w:cs="Times New Roman"/>
          <w:sz w:val="24"/>
          <w:szCs w:val="24"/>
        </w:rPr>
        <w:t>:</w:t>
      </w:r>
    </w:p>
    <w:p w14:paraId="508E0256" w14:textId="3633F214" w:rsidR="0075617B" w:rsidRDefault="00EA42F6" w:rsidP="00C471F1">
      <w:pPr>
        <w:numPr>
          <w:ilvl w:val="0"/>
          <w:numId w:val="30"/>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Observe</w:t>
      </w:r>
      <w:r w:rsidR="00233A26">
        <w:rPr>
          <w:rFonts w:ascii="Times New Roman" w:eastAsia="Calibri" w:hAnsi="Times New Roman" w:cs="Times New Roman"/>
          <w:sz w:val="24"/>
          <w:szCs w:val="24"/>
        </w:rPr>
        <w:t xml:space="preserve"> whether</w:t>
      </w:r>
      <w:r w:rsidR="00536020">
        <w:rPr>
          <w:rFonts w:ascii="Times New Roman" w:eastAsia="Calibri" w:hAnsi="Times New Roman" w:cs="Times New Roman"/>
          <w:sz w:val="24"/>
          <w:szCs w:val="24"/>
        </w:rPr>
        <w:t xml:space="preserve"> there is evidence that the monthly statement or combined statement and </w:t>
      </w:r>
      <w:r w:rsidR="0075617B" w:rsidRPr="004C3816">
        <w:rPr>
          <w:rFonts w:ascii="Times New Roman" w:eastAsia="Calibri" w:hAnsi="Times New Roman" w:cs="Times New Roman"/>
          <w:sz w:val="24"/>
          <w:szCs w:val="24"/>
        </w:rPr>
        <w:t>supporting documentation</w:t>
      </w:r>
      <w:r w:rsidR="00600D76">
        <w:rPr>
          <w:rFonts w:ascii="Times New Roman" w:eastAsia="Calibri" w:hAnsi="Times New Roman" w:cs="Times New Roman"/>
          <w:sz w:val="24"/>
          <w:szCs w:val="24"/>
        </w:rPr>
        <w:t xml:space="preserve"> (e.g., original receipts for credit/debit card purchases, exception reports for excessive fuel card usage)</w:t>
      </w:r>
      <w:r w:rsidR="0075617B" w:rsidRPr="004C3816">
        <w:rPr>
          <w:rFonts w:ascii="Times New Roman" w:eastAsia="Calibri" w:hAnsi="Times New Roman" w:cs="Times New Roman"/>
          <w:sz w:val="24"/>
          <w:szCs w:val="24"/>
        </w:rPr>
        <w:t xml:space="preserve"> </w:t>
      </w:r>
      <w:r w:rsidR="00772411" w:rsidRPr="004C3816">
        <w:rPr>
          <w:rFonts w:ascii="Times New Roman" w:eastAsia="Calibri" w:hAnsi="Times New Roman" w:cs="Times New Roman"/>
          <w:sz w:val="24"/>
          <w:szCs w:val="24"/>
        </w:rPr>
        <w:t>w</w:t>
      </w:r>
      <w:r w:rsidR="00772411">
        <w:rPr>
          <w:rFonts w:ascii="Times New Roman" w:eastAsia="Calibri" w:hAnsi="Times New Roman" w:cs="Times New Roman"/>
          <w:sz w:val="24"/>
          <w:szCs w:val="24"/>
        </w:rPr>
        <w:t>ere</w:t>
      </w:r>
      <w:r w:rsidR="00772411" w:rsidRPr="004C3816">
        <w:rPr>
          <w:rFonts w:ascii="Times New Roman" w:eastAsia="Calibri" w:hAnsi="Times New Roman" w:cs="Times New Roman"/>
          <w:sz w:val="24"/>
          <w:szCs w:val="24"/>
        </w:rPr>
        <w:t xml:space="preserve"> </w:t>
      </w:r>
      <w:r w:rsidR="00165EA8">
        <w:rPr>
          <w:rFonts w:ascii="Times New Roman" w:eastAsia="Calibri" w:hAnsi="Times New Roman" w:cs="Times New Roman"/>
          <w:sz w:val="24"/>
          <w:szCs w:val="24"/>
        </w:rPr>
        <w:t xml:space="preserve">reviewed and </w:t>
      </w:r>
      <w:r w:rsidR="0075617B" w:rsidRPr="004C3816">
        <w:rPr>
          <w:rFonts w:ascii="Times New Roman" w:eastAsia="Calibri" w:hAnsi="Times New Roman" w:cs="Times New Roman"/>
          <w:sz w:val="24"/>
          <w:szCs w:val="24"/>
        </w:rPr>
        <w:t>approved, in writing</w:t>
      </w:r>
      <w:r w:rsidR="00632BE4">
        <w:rPr>
          <w:rFonts w:ascii="Times New Roman" w:eastAsia="Calibri" w:hAnsi="Times New Roman" w:cs="Times New Roman"/>
          <w:sz w:val="24"/>
          <w:szCs w:val="24"/>
        </w:rPr>
        <w:t xml:space="preserve"> (or electronically approved)</w:t>
      </w:r>
      <w:r w:rsidR="0075617B" w:rsidRPr="004C3816">
        <w:rPr>
          <w:rFonts w:ascii="Times New Roman" w:eastAsia="Calibri" w:hAnsi="Times New Roman" w:cs="Times New Roman"/>
          <w:sz w:val="24"/>
          <w:szCs w:val="24"/>
        </w:rPr>
        <w:t>, by someone other than the authorized card holder. [</w:t>
      </w:r>
      <w:r w:rsidR="0075617B" w:rsidRPr="00397921">
        <w:rPr>
          <w:rFonts w:ascii="Times New Roman" w:eastAsia="Calibri" w:hAnsi="Times New Roman" w:cs="Times New Roman"/>
          <w:sz w:val="24"/>
          <w:szCs w:val="24"/>
        </w:rPr>
        <w:t xml:space="preserve">Note: </w:t>
      </w:r>
      <w:r w:rsidR="003F1620">
        <w:rPr>
          <w:rFonts w:ascii="Times New Roman" w:eastAsia="Calibri" w:hAnsi="Times New Roman" w:cs="Times New Roman"/>
          <w:sz w:val="24"/>
          <w:szCs w:val="24"/>
        </w:rPr>
        <w:t>R</w:t>
      </w:r>
      <w:r w:rsidR="003F1620" w:rsidRPr="00397921">
        <w:rPr>
          <w:rFonts w:ascii="Times New Roman" w:eastAsia="Calibri" w:hAnsi="Times New Roman" w:cs="Times New Roman"/>
          <w:sz w:val="24"/>
          <w:szCs w:val="24"/>
        </w:rPr>
        <w:t xml:space="preserve">equiring </w:t>
      </w:r>
      <w:r w:rsidR="0075617B" w:rsidRPr="00397921">
        <w:rPr>
          <w:rFonts w:ascii="Times New Roman" w:eastAsia="Calibri" w:hAnsi="Times New Roman" w:cs="Times New Roman"/>
          <w:sz w:val="24"/>
          <w:szCs w:val="24"/>
        </w:rPr>
        <w:t>such approval may constrain the legal authority of certain public officials (e.g., mayor of a Lawrason Act municipality</w:t>
      </w:r>
      <w:r w:rsidR="00994BC5" w:rsidRPr="00397921">
        <w:rPr>
          <w:rFonts w:ascii="Times New Roman" w:eastAsia="Calibri" w:hAnsi="Times New Roman" w:cs="Times New Roman"/>
          <w:sz w:val="24"/>
          <w:szCs w:val="24"/>
        </w:rPr>
        <w:t>)</w:t>
      </w:r>
      <w:r w:rsidR="00261601" w:rsidRPr="00397921">
        <w:rPr>
          <w:rFonts w:ascii="Times New Roman" w:eastAsia="Calibri" w:hAnsi="Times New Roman" w:cs="Times New Roman"/>
          <w:sz w:val="24"/>
          <w:szCs w:val="24"/>
        </w:rPr>
        <w:t>; these instances should not be reported</w:t>
      </w:r>
      <w:r w:rsidR="0075617B" w:rsidRPr="00397921">
        <w:rPr>
          <w:rFonts w:ascii="Times New Roman" w:eastAsia="Calibri" w:hAnsi="Times New Roman" w:cs="Times New Roman"/>
          <w:sz w:val="24"/>
          <w:szCs w:val="24"/>
        </w:rPr>
        <w:t>.</w:t>
      </w:r>
      <w:r w:rsidR="00994BC5" w:rsidRPr="00397921">
        <w:rPr>
          <w:rFonts w:ascii="Times New Roman" w:eastAsia="Calibri" w:hAnsi="Times New Roman" w:cs="Times New Roman"/>
          <w:sz w:val="24"/>
          <w:szCs w:val="24"/>
        </w:rPr>
        <w:t>]</w:t>
      </w:r>
    </w:p>
    <w:p w14:paraId="72FC71C2" w14:textId="77777777" w:rsidR="004C3816" w:rsidRDefault="00EA42F6" w:rsidP="00737C5C">
      <w:pPr>
        <w:numPr>
          <w:ilvl w:val="0"/>
          <w:numId w:val="3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Observe that</w:t>
      </w:r>
      <w:r w:rsidR="00960C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finance charges </w:t>
      </w:r>
      <w:r w:rsidR="00FF1AE2">
        <w:rPr>
          <w:rFonts w:ascii="Times New Roman" w:eastAsia="Calibri" w:hAnsi="Times New Roman" w:cs="Times New Roman"/>
          <w:sz w:val="24"/>
          <w:szCs w:val="24"/>
        </w:rPr>
        <w:t>and</w:t>
      </w:r>
      <w:r w:rsidR="004C3816">
        <w:rPr>
          <w:rFonts w:ascii="Times New Roman" w:eastAsia="Calibri" w:hAnsi="Times New Roman" w:cs="Times New Roman"/>
          <w:sz w:val="24"/>
          <w:szCs w:val="24"/>
        </w:rPr>
        <w:t xml:space="preserve"> late fees were </w:t>
      </w:r>
      <w:r>
        <w:rPr>
          <w:rFonts w:ascii="Times New Roman" w:eastAsia="Calibri" w:hAnsi="Times New Roman" w:cs="Times New Roman"/>
          <w:sz w:val="24"/>
          <w:szCs w:val="24"/>
        </w:rPr>
        <w:t xml:space="preserve">not </w:t>
      </w:r>
      <w:r w:rsidR="004C3816">
        <w:rPr>
          <w:rFonts w:ascii="Times New Roman" w:eastAsia="Calibri" w:hAnsi="Times New Roman" w:cs="Times New Roman"/>
          <w:sz w:val="24"/>
          <w:szCs w:val="24"/>
        </w:rPr>
        <w:t xml:space="preserve">assessed on the </w:t>
      </w:r>
      <w:r w:rsidR="00960C8C">
        <w:rPr>
          <w:rFonts w:ascii="Times New Roman" w:eastAsia="Calibri" w:hAnsi="Times New Roman" w:cs="Times New Roman"/>
          <w:sz w:val="24"/>
          <w:szCs w:val="24"/>
        </w:rPr>
        <w:t xml:space="preserve">selected </w:t>
      </w:r>
      <w:r w:rsidR="004C3816">
        <w:rPr>
          <w:rFonts w:ascii="Times New Roman" w:eastAsia="Calibri" w:hAnsi="Times New Roman" w:cs="Times New Roman"/>
          <w:sz w:val="24"/>
          <w:szCs w:val="24"/>
        </w:rPr>
        <w:t>statements.</w:t>
      </w:r>
    </w:p>
    <w:p w14:paraId="59A51B7B" w14:textId="77777777" w:rsidR="0075617B" w:rsidRDefault="0075617B" w:rsidP="0075617B">
      <w:pPr>
        <w:pStyle w:val="ListParagraph"/>
        <w:rPr>
          <w:rFonts w:eastAsia="Calibri"/>
          <w:szCs w:val="24"/>
        </w:rPr>
      </w:pPr>
    </w:p>
    <w:p w14:paraId="2E1C2F34" w14:textId="5D26F2CF" w:rsidR="00823086" w:rsidRPr="00D96BB0" w:rsidRDefault="00960C8C" w:rsidP="00A54BEA">
      <w:pPr>
        <w:numPr>
          <w:ilvl w:val="0"/>
          <w:numId w:val="10"/>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Using the </w:t>
      </w:r>
      <w:r w:rsidR="00116ACC">
        <w:rPr>
          <w:rFonts w:ascii="Times New Roman" w:eastAsia="Calibri" w:hAnsi="Times New Roman" w:cs="Times New Roman"/>
          <w:sz w:val="24"/>
          <w:szCs w:val="24"/>
        </w:rPr>
        <w:t xml:space="preserve">monthly </w:t>
      </w:r>
      <w:r>
        <w:rPr>
          <w:rFonts w:ascii="Times New Roman" w:eastAsia="Calibri" w:hAnsi="Times New Roman" w:cs="Times New Roman"/>
          <w:sz w:val="24"/>
          <w:szCs w:val="24"/>
        </w:rPr>
        <w:t>statement</w:t>
      </w:r>
      <w:r w:rsidR="00264308">
        <w:rPr>
          <w:rFonts w:ascii="Times New Roman" w:eastAsia="Calibri" w:hAnsi="Times New Roman" w:cs="Times New Roman"/>
          <w:sz w:val="24"/>
          <w:szCs w:val="24"/>
        </w:rPr>
        <w:t>s</w:t>
      </w:r>
      <w:r>
        <w:rPr>
          <w:rFonts w:ascii="Times New Roman" w:eastAsia="Calibri" w:hAnsi="Times New Roman" w:cs="Times New Roman"/>
          <w:sz w:val="24"/>
          <w:szCs w:val="24"/>
        </w:rPr>
        <w:t xml:space="preserve"> or combined statement</w:t>
      </w:r>
      <w:r w:rsidR="00264308">
        <w:rPr>
          <w:rFonts w:ascii="Times New Roman" w:eastAsia="Calibri" w:hAnsi="Times New Roman" w:cs="Times New Roman"/>
          <w:sz w:val="24"/>
          <w:szCs w:val="24"/>
        </w:rPr>
        <w:t xml:space="preserve">s </w:t>
      </w:r>
      <w:r>
        <w:rPr>
          <w:rFonts w:ascii="Times New Roman" w:eastAsia="Calibri" w:hAnsi="Times New Roman" w:cs="Times New Roman"/>
          <w:sz w:val="24"/>
          <w:szCs w:val="24"/>
        </w:rPr>
        <w:t>selected under #</w:t>
      </w:r>
      <w:r w:rsidR="00F5394D">
        <w:rPr>
          <w:rFonts w:ascii="Times New Roman" w:eastAsia="Calibri" w:hAnsi="Times New Roman" w:cs="Times New Roman"/>
          <w:sz w:val="24"/>
          <w:szCs w:val="24"/>
        </w:rPr>
        <w:t>1</w:t>
      </w:r>
      <w:r w:rsidR="00632DF3">
        <w:rPr>
          <w:rFonts w:ascii="Times New Roman" w:eastAsia="Calibri" w:hAnsi="Times New Roman" w:cs="Times New Roman"/>
          <w:sz w:val="24"/>
          <w:szCs w:val="24"/>
        </w:rPr>
        <w:t>2</w:t>
      </w:r>
      <w:r>
        <w:rPr>
          <w:rFonts w:ascii="Times New Roman" w:eastAsia="Calibri" w:hAnsi="Times New Roman" w:cs="Times New Roman"/>
          <w:sz w:val="24"/>
          <w:szCs w:val="24"/>
        </w:rPr>
        <w:t xml:space="preserve"> above</w:t>
      </w:r>
      <w:r w:rsidR="00F905B9">
        <w:rPr>
          <w:rFonts w:ascii="Times New Roman" w:eastAsia="Calibri" w:hAnsi="Times New Roman" w:cs="Times New Roman"/>
          <w:sz w:val="24"/>
          <w:szCs w:val="24"/>
        </w:rPr>
        <w:t xml:space="preserve">, </w:t>
      </w:r>
      <w:r w:rsidR="00F905B9" w:rsidRPr="00A54BEA">
        <w:rPr>
          <w:rFonts w:ascii="Times New Roman" w:eastAsia="Calibri" w:hAnsi="Times New Roman" w:cs="Times New Roman"/>
          <w:sz w:val="24"/>
          <w:szCs w:val="24"/>
          <w:u w:val="single"/>
        </w:rPr>
        <w:t>excluding fuel cards</w:t>
      </w:r>
      <w:r>
        <w:rPr>
          <w:rFonts w:ascii="Times New Roman" w:eastAsia="Calibri" w:hAnsi="Times New Roman" w:cs="Times New Roman"/>
          <w:sz w:val="24"/>
          <w:szCs w:val="24"/>
        </w:rPr>
        <w:t xml:space="preserve">, </w:t>
      </w:r>
      <w:r w:rsidR="00845BF4">
        <w:rPr>
          <w:rFonts w:ascii="Times New Roman" w:eastAsia="Calibri" w:hAnsi="Times New Roman" w:cs="Times New Roman"/>
          <w:sz w:val="24"/>
          <w:szCs w:val="24"/>
        </w:rPr>
        <w:t xml:space="preserve">randomly select 10 transactions (or all transactions if less than 10) from each statement, </w:t>
      </w:r>
      <w:r w:rsidR="00A646AC">
        <w:rPr>
          <w:rFonts w:ascii="Times New Roman" w:eastAsia="Calibri" w:hAnsi="Times New Roman" w:cs="Times New Roman"/>
          <w:sz w:val="24"/>
          <w:szCs w:val="24"/>
        </w:rPr>
        <w:t xml:space="preserve">and </w:t>
      </w:r>
      <w:r>
        <w:rPr>
          <w:rFonts w:ascii="Times New Roman" w:eastAsia="Calibri" w:hAnsi="Times New Roman" w:cs="Times New Roman"/>
          <w:sz w:val="24"/>
          <w:szCs w:val="24"/>
        </w:rPr>
        <w:t xml:space="preserve">obtain supporting documentation </w:t>
      </w:r>
      <w:r w:rsidR="00397921">
        <w:rPr>
          <w:rFonts w:ascii="Times New Roman" w:eastAsia="Calibri" w:hAnsi="Times New Roman" w:cs="Times New Roman"/>
          <w:sz w:val="24"/>
          <w:szCs w:val="24"/>
        </w:rPr>
        <w:t>for the</w:t>
      </w:r>
      <w:r w:rsidR="006F4132">
        <w:rPr>
          <w:rFonts w:ascii="Times New Roman" w:eastAsia="Calibri" w:hAnsi="Times New Roman" w:cs="Times New Roman"/>
          <w:sz w:val="24"/>
          <w:szCs w:val="24"/>
        </w:rPr>
        <w:t xml:space="preserve"> transactions (i.e.</w:t>
      </w:r>
      <w:r w:rsidR="003F1620">
        <w:rPr>
          <w:rFonts w:ascii="Times New Roman" w:eastAsia="Calibri" w:hAnsi="Times New Roman" w:cs="Times New Roman"/>
          <w:sz w:val="24"/>
          <w:szCs w:val="24"/>
        </w:rPr>
        <w:t>,</w:t>
      </w:r>
      <w:r w:rsidR="006F4132">
        <w:rPr>
          <w:rFonts w:ascii="Times New Roman" w:eastAsia="Calibri" w:hAnsi="Times New Roman" w:cs="Times New Roman"/>
          <w:sz w:val="24"/>
          <w:szCs w:val="24"/>
        </w:rPr>
        <w:t xml:space="preserve"> each card should have </w:t>
      </w:r>
      <w:r w:rsidR="00845BF4">
        <w:rPr>
          <w:rFonts w:ascii="Times New Roman" w:eastAsia="Calibri" w:hAnsi="Times New Roman" w:cs="Times New Roman"/>
          <w:sz w:val="24"/>
          <w:szCs w:val="24"/>
        </w:rPr>
        <w:t>10 transactions</w:t>
      </w:r>
      <w:r w:rsidR="006F4132">
        <w:rPr>
          <w:rFonts w:ascii="Times New Roman" w:eastAsia="Calibri" w:hAnsi="Times New Roman" w:cs="Times New Roman"/>
          <w:sz w:val="24"/>
          <w:szCs w:val="24"/>
        </w:rPr>
        <w:t xml:space="preserve"> </w:t>
      </w:r>
      <w:r w:rsidR="00116ACC">
        <w:rPr>
          <w:rFonts w:ascii="Times New Roman" w:eastAsia="Calibri" w:hAnsi="Times New Roman" w:cs="Times New Roman"/>
          <w:sz w:val="24"/>
          <w:szCs w:val="24"/>
        </w:rPr>
        <w:t>subject to testing</w:t>
      </w:r>
      <w:r w:rsidR="00116ACC" w:rsidRPr="00D96BB0">
        <w:rPr>
          <w:rFonts w:ascii="Times New Roman" w:eastAsia="Calibri" w:hAnsi="Times New Roman" w:cs="Times New Roman"/>
          <w:sz w:val="24"/>
          <w:szCs w:val="24"/>
        </w:rPr>
        <w:t>)</w:t>
      </w:r>
      <w:r w:rsidR="00140694">
        <w:rPr>
          <w:rStyle w:val="FootnoteReference"/>
          <w:rFonts w:ascii="Times New Roman" w:eastAsia="Calibri" w:hAnsi="Times New Roman" w:cs="Times New Roman"/>
          <w:sz w:val="24"/>
          <w:szCs w:val="24"/>
        </w:rPr>
        <w:footnoteReference w:id="15"/>
      </w:r>
      <w:r w:rsidR="00ED29A2" w:rsidRPr="00D96BB0">
        <w:rPr>
          <w:rFonts w:ascii="Times New Roman" w:eastAsia="Calibri" w:hAnsi="Times New Roman" w:cs="Times New Roman"/>
          <w:sz w:val="24"/>
          <w:szCs w:val="24"/>
        </w:rPr>
        <w:t>.</w:t>
      </w:r>
      <w:r w:rsidR="00D96BB0" w:rsidRPr="00D96BB0">
        <w:rPr>
          <w:rFonts w:ascii="Times New Roman" w:eastAsia="Calibri" w:hAnsi="Times New Roman" w:cs="Times New Roman"/>
          <w:sz w:val="24"/>
          <w:szCs w:val="24"/>
        </w:rPr>
        <w:t xml:space="preserve">  </w:t>
      </w:r>
      <w:r w:rsidR="00513735" w:rsidRPr="00A54BEA">
        <w:rPr>
          <w:rFonts w:ascii="Times New Roman" w:eastAsia="Calibri" w:hAnsi="Times New Roman" w:cs="Times New Roman"/>
          <w:sz w:val="24"/>
          <w:szCs w:val="24"/>
        </w:rPr>
        <w:t xml:space="preserve">For each transaction, </w:t>
      </w:r>
      <w:r w:rsidR="00EA42F6" w:rsidRPr="00A54BEA">
        <w:rPr>
          <w:rFonts w:ascii="Times New Roman" w:eastAsia="Calibri" w:hAnsi="Times New Roman" w:cs="Times New Roman"/>
          <w:sz w:val="24"/>
          <w:szCs w:val="24"/>
        </w:rPr>
        <w:t>observe</w:t>
      </w:r>
      <w:r w:rsidR="006F4132" w:rsidRPr="00A54BEA">
        <w:rPr>
          <w:rFonts w:ascii="Times New Roman" w:eastAsia="Calibri" w:hAnsi="Times New Roman" w:cs="Times New Roman"/>
          <w:sz w:val="24"/>
          <w:szCs w:val="24"/>
        </w:rPr>
        <w:t xml:space="preserve"> </w:t>
      </w:r>
      <w:r w:rsidR="00397921" w:rsidRPr="00A54BEA">
        <w:rPr>
          <w:rFonts w:ascii="Times New Roman" w:eastAsia="Calibri" w:hAnsi="Times New Roman" w:cs="Times New Roman"/>
          <w:sz w:val="24"/>
          <w:szCs w:val="24"/>
        </w:rPr>
        <w:t>it</w:t>
      </w:r>
      <w:r w:rsidR="00D96BB0" w:rsidRPr="00A54BEA">
        <w:rPr>
          <w:rFonts w:ascii="Times New Roman" w:eastAsia="Calibri" w:hAnsi="Times New Roman" w:cs="Times New Roman"/>
          <w:sz w:val="24"/>
          <w:szCs w:val="24"/>
        </w:rPr>
        <w:t xml:space="preserve"> is supported by (1) a</w:t>
      </w:r>
      <w:r w:rsidR="00823086" w:rsidRPr="00D96BB0">
        <w:rPr>
          <w:rFonts w:ascii="Times New Roman" w:eastAsia="Calibri" w:hAnsi="Times New Roman" w:cs="Times New Roman"/>
          <w:sz w:val="24"/>
          <w:szCs w:val="24"/>
        </w:rPr>
        <w:t xml:space="preserve">n original itemized receipt </w:t>
      </w:r>
      <w:r w:rsidR="00845BF4" w:rsidRPr="00D96BB0">
        <w:rPr>
          <w:rFonts w:ascii="Times New Roman" w:eastAsia="Calibri" w:hAnsi="Times New Roman" w:cs="Times New Roman"/>
          <w:sz w:val="24"/>
          <w:szCs w:val="24"/>
        </w:rPr>
        <w:t xml:space="preserve">that </w:t>
      </w:r>
      <w:r w:rsidR="00823086" w:rsidRPr="00D96BB0">
        <w:rPr>
          <w:rFonts w:ascii="Times New Roman" w:eastAsia="Calibri" w:hAnsi="Times New Roman" w:cs="Times New Roman"/>
          <w:sz w:val="24"/>
          <w:szCs w:val="24"/>
        </w:rPr>
        <w:t>identifi</w:t>
      </w:r>
      <w:r w:rsidR="00EA42F6">
        <w:rPr>
          <w:rFonts w:ascii="Times New Roman" w:eastAsia="Calibri" w:hAnsi="Times New Roman" w:cs="Times New Roman"/>
          <w:sz w:val="24"/>
          <w:szCs w:val="24"/>
        </w:rPr>
        <w:t>es precisely what was purchased,</w:t>
      </w:r>
      <w:r w:rsidR="00D96BB0" w:rsidRPr="00D96BB0">
        <w:rPr>
          <w:rFonts w:ascii="Times New Roman" w:eastAsia="Calibri" w:hAnsi="Times New Roman" w:cs="Times New Roman"/>
          <w:sz w:val="24"/>
          <w:szCs w:val="24"/>
        </w:rPr>
        <w:t xml:space="preserve"> (2) </w:t>
      </w:r>
      <w:r w:rsidR="00EA42F6">
        <w:rPr>
          <w:rFonts w:ascii="Times New Roman" w:eastAsia="Calibri" w:hAnsi="Times New Roman" w:cs="Times New Roman"/>
          <w:sz w:val="24"/>
          <w:szCs w:val="24"/>
        </w:rPr>
        <w:t xml:space="preserve">written </w:t>
      </w:r>
      <w:r w:rsidR="00D96BB0" w:rsidRPr="00D96BB0">
        <w:rPr>
          <w:rFonts w:ascii="Times New Roman" w:eastAsia="Calibri" w:hAnsi="Times New Roman" w:cs="Times New Roman"/>
          <w:sz w:val="24"/>
          <w:szCs w:val="24"/>
        </w:rPr>
        <w:t>d</w:t>
      </w:r>
      <w:r w:rsidR="00823086" w:rsidRPr="00D96BB0">
        <w:rPr>
          <w:rFonts w:ascii="Times New Roman" w:eastAsia="Calibri" w:hAnsi="Times New Roman" w:cs="Times New Roman"/>
          <w:sz w:val="24"/>
          <w:szCs w:val="24"/>
        </w:rPr>
        <w:t>ocumentation of the business/public purpose</w:t>
      </w:r>
      <w:r w:rsidR="00EA42F6">
        <w:rPr>
          <w:rFonts w:ascii="Times New Roman" w:eastAsia="Calibri" w:hAnsi="Times New Roman" w:cs="Times New Roman"/>
          <w:sz w:val="24"/>
          <w:szCs w:val="24"/>
        </w:rPr>
        <w:t>, and (3)</w:t>
      </w:r>
      <w:r w:rsidR="00B516ED">
        <w:rPr>
          <w:rFonts w:ascii="Times New Roman" w:eastAsia="Calibri" w:hAnsi="Times New Roman" w:cs="Times New Roman"/>
          <w:sz w:val="24"/>
          <w:szCs w:val="24"/>
        </w:rPr>
        <w:t xml:space="preserve"> documentation of the individuals participating in meals (for meal charges only)</w:t>
      </w:r>
      <w:r w:rsidR="006F4132" w:rsidRPr="00D96BB0">
        <w:rPr>
          <w:rFonts w:ascii="Times New Roman" w:eastAsia="Calibri" w:hAnsi="Times New Roman" w:cs="Times New Roman"/>
          <w:sz w:val="24"/>
          <w:szCs w:val="24"/>
        </w:rPr>
        <w:t>.</w:t>
      </w:r>
      <w:r w:rsidR="00632BE4">
        <w:rPr>
          <w:rFonts w:ascii="Times New Roman" w:eastAsia="Calibri" w:hAnsi="Times New Roman" w:cs="Times New Roman"/>
          <w:sz w:val="24"/>
          <w:szCs w:val="24"/>
        </w:rPr>
        <w:t xml:space="preserve">  For missing receipts, the practitioner should describe the nature of the transaction and note whether management had a compensating control to address missing receipts, such as a “missing receipt statement” that is subject to increased scrutiny.</w:t>
      </w:r>
    </w:p>
    <w:p w14:paraId="0A4B987D" w14:textId="77777777" w:rsidR="001C40B6" w:rsidRPr="009C283F" w:rsidRDefault="001C40B6" w:rsidP="00684C32">
      <w:pPr>
        <w:spacing w:after="0" w:line="240" w:lineRule="auto"/>
        <w:ind w:left="1080"/>
        <w:jc w:val="both"/>
        <w:rPr>
          <w:rFonts w:ascii="Times New Roman" w:eastAsia="Times New Roman" w:hAnsi="Times New Roman" w:cs="Times New Roman"/>
          <w:sz w:val="24"/>
          <w:szCs w:val="24"/>
        </w:rPr>
      </w:pPr>
    </w:p>
    <w:p w14:paraId="1125A88A" w14:textId="77777777" w:rsidR="00823086" w:rsidRPr="009C283F" w:rsidRDefault="00823086" w:rsidP="00684C32">
      <w:pPr>
        <w:pBdr>
          <w:bottom w:val="single" w:sz="4" w:space="1" w:color="auto"/>
        </w:pBdr>
        <w:spacing w:after="0" w:line="240" w:lineRule="auto"/>
        <w:jc w:val="both"/>
        <w:rPr>
          <w:rFonts w:ascii="Times New Roman" w:eastAsia="Times New Roman" w:hAnsi="Times New Roman" w:cs="Times New Roman"/>
          <w:b/>
          <w:color w:val="000000"/>
          <w:sz w:val="24"/>
          <w:szCs w:val="24"/>
        </w:rPr>
      </w:pPr>
      <w:r w:rsidRPr="009C283F">
        <w:rPr>
          <w:rFonts w:ascii="Times New Roman" w:eastAsia="Times New Roman" w:hAnsi="Times New Roman" w:cs="Times New Roman"/>
          <w:b/>
          <w:i/>
          <w:color w:val="000000"/>
          <w:sz w:val="24"/>
          <w:szCs w:val="24"/>
        </w:rPr>
        <w:t xml:space="preserve">Travel and </w:t>
      </w:r>
      <w:r w:rsidR="00E219BA">
        <w:rPr>
          <w:rFonts w:ascii="Times New Roman" w:eastAsia="Times New Roman" w:hAnsi="Times New Roman" w:cs="Times New Roman"/>
          <w:b/>
          <w:i/>
          <w:color w:val="000000"/>
          <w:sz w:val="24"/>
          <w:szCs w:val="24"/>
        </w:rPr>
        <w:t xml:space="preserve">Travel-Related </w:t>
      </w:r>
      <w:r w:rsidRPr="009C283F">
        <w:rPr>
          <w:rFonts w:ascii="Times New Roman" w:eastAsia="Times New Roman" w:hAnsi="Times New Roman" w:cs="Times New Roman"/>
          <w:b/>
          <w:i/>
          <w:color w:val="000000"/>
          <w:sz w:val="24"/>
          <w:szCs w:val="24"/>
        </w:rPr>
        <w:t>Expense Reimbursement</w:t>
      </w:r>
      <w:r w:rsidR="00E219BA">
        <w:rPr>
          <w:rFonts w:ascii="Times New Roman" w:eastAsia="Times New Roman" w:hAnsi="Times New Roman" w:cs="Times New Roman"/>
          <w:b/>
          <w:i/>
          <w:color w:val="000000"/>
          <w:sz w:val="24"/>
          <w:szCs w:val="24"/>
        </w:rPr>
        <w:t>s</w:t>
      </w:r>
      <w:r w:rsidR="0064082D">
        <w:rPr>
          <w:rStyle w:val="FootnoteReference"/>
          <w:rFonts w:ascii="Times New Roman" w:eastAsia="Times New Roman" w:hAnsi="Times New Roman" w:cs="Times New Roman"/>
          <w:b/>
          <w:i/>
          <w:color w:val="000000"/>
          <w:sz w:val="24"/>
          <w:szCs w:val="24"/>
        </w:rPr>
        <w:footnoteReference w:id="16"/>
      </w:r>
      <w:r w:rsidR="0064082D">
        <w:rPr>
          <w:rFonts w:ascii="Times New Roman" w:eastAsia="Times New Roman" w:hAnsi="Times New Roman" w:cs="Times New Roman"/>
          <w:b/>
          <w:i/>
          <w:color w:val="000000"/>
          <w:sz w:val="24"/>
          <w:szCs w:val="24"/>
        </w:rPr>
        <w:t xml:space="preserve"> (excluding card transactions)</w:t>
      </w:r>
    </w:p>
    <w:p w14:paraId="6CBF614A" w14:textId="77777777" w:rsidR="00823086" w:rsidRPr="009C283F" w:rsidRDefault="00823086" w:rsidP="00823086">
      <w:pPr>
        <w:spacing w:after="0" w:line="240" w:lineRule="auto"/>
        <w:ind w:left="360"/>
        <w:rPr>
          <w:rFonts w:ascii="Times New Roman" w:eastAsia="Times New Roman" w:hAnsi="Times New Roman" w:cs="Times New Roman"/>
          <w:sz w:val="24"/>
          <w:szCs w:val="24"/>
        </w:rPr>
      </w:pPr>
    </w:p>
    <w:p w14:paraId="050445B4" w14:textId="77777777" w:rsidR="00823086" w:rsidRPr="00A54BEA" w:rsidRDefault="00823086" w:rsidP="00A54BEA">
      <w:pPr>
        <w:numPr>
          <w:ilvl w:val="0"/>
          <w:numId w:val="10"/>
        </w:numPr>
        <w:spacing w:after="120" w:line="240" w:lineRule="auto"/>
        <w:jc w:val="both"/>
        <w:rPr>
          <w:rFonts w:ascii="Times New Roman" w:eastAsia="Calibri" w:hAnsi="Times New Roman" w:cs="Times New Roman"/>
          <w:sz w:val="24"/>
          <w:szCs w:val="24"/>
        </w:rPr>
      </w:pPr>
      <w:r w:rsidRPr="00E219BA">
        <w:rPr>
          <w:rFonts w:ascii="Times New Roman" w:eastAsia="Calibri" w:hAnsi="Times New Roman" w:cs="Times New Roman"/>
          <w:sz w:val="24"/>
          <w:szCs w:val="24"/>
        </w:rPr>
        <w:t xml:space="preserve">Obtain </w:t>
      </w:r>
      <w:r w:rsidR="000E1CFA" w:rsidRPr="00E219BA">
        <w:rPr>
          <w:rFonts w:ascii="Times New Roman" w:eastAsia="Calibri" w:hAnsi="Times New Roman" w:cs="Times New Roman"/>
          <w:sz w:val="24"/>
          <w:szCs w:val="24"/>
        </w:rPr>
        <w:t xml:space="preserve">from management </w:t>
      </w:r>
      <w:r w:rsidRPr="00E219BA">
        <w:rPr>
          <w:rFonts w:ascii="Times New Roman" w:eastAsia="Calibri" w:hAnsi="Times New Roman" w:cs="Times New Roman"/>
          <w:sz w:val="24"/>
          <w:szCs w:val="24"/>
        </w:rPr>
        <w:t xml:space="preserve">a listing of all travel and </w:t>
      </w:r>
      <w:r w:rsidR="00E219BA" w:rsidRPr="00E219BA">
        <w:rPr>
          <w:rFonts w:ascii="Times New Roman" w:eastAsia="Calibri" w:hAnsi="Times New Roman" w:cs="Times New Roman"/>
          <w:sz w:val="24"/>
          <w:szCs w:val="24"/>
        </w:rPr>
        <w:t>travel-</w:t>
      </w:r>
      <w:r w:rsidRPr="00E219BA">
        <w:rPr>
          <w:rFonts w:ascii="Times New Roman" w:eastAsia="Calibri" w:hAnsi="Times New Roman" w:cs="Times New Roman"/>
          <w:sz w:val="24"/>
          <w:szCs w:val="24"/>
        </w:rPr>
        <w:t xml:space="preserve">related expense reimbursements during the </w:t>
      </w:r>
      <w:r w:rsidR="00B9239E" w:rsidRPr="00E219BA">
        <w:rPr>
          <w:rFonts w:ascii="Times New Roman" w:eastAsia="Calibri" w:hAnsi="Times New Roman" w:cs="Times New Roman"/>
          <w:sz w:val="24"/>
          <w:szCs w:val="24"/>
        </w:rPr>
        <w:t>fiscal period</w:t>
      </w:r>
      <w:r w:rsidR="00E219BA" w:rsidRPr="00E219BA">
        <w:rPr>
          <w:rFonts w:ascii="Times New Roman" w:eastAsia="Calibri" w:hAnsi="Times New Roman" w:cs="Times New Roman"/>
          <w:sz w:val="24"/>
          <w:szCs w:val="24"/>
        </w:rPr>
        <w:t xml:space="preserve"> and </w:t>
      </w:r>
      <w:r w:rsidR="003C262F" w:rsidRPr="00E219BA">
        <w:rPr>
          <w:rFonts w:ascii="Times New Roman" w:eastAsia="Calibri" w:hAnsi="Times New Roman" w:cs="Times New Roman"/>
          <w:sz w:val="24"/>
          <w:szCs w:val="24"/>
        </w:rPr>
        <w:t>management’s representation that the listing or general ledger is complete</w:t>
      </w:r>
      <w:r w:rsidR="00355233" w:rsidRPr="00E219BA">
        <w:rPr>
          <w:rFonts w:ascii="Times New Roman" w:eastAsia="Calibri" w:hAnsi="Times New Roman" w:cs="Times New Roman"/>
          <w:sz w:val="24"/>
          <w:szCs w:val="24"/>
        </w:rPr>
        <w:t>.</w:t>
      </w:r>
      <w:r w:rsidR="00E219BA" w:rsidRPr="00E219BA">
        <w:rPr>
          <w:rFonts w:ascii="Times New Roman" w:eastAsia="Calibri" w:hAnsi="Times New Roman" w:cs="Times New Roman"/>
          <w:sz w:val="24"/>
          <w:szCs w:val="24"/>
        </w:rPr>
        <w:t xml:space="preserve">  </w:t>
      </w:r>
      <w:r w:rsidR="00E219BA">
        <w:rPr>
          <w:rFonts w:ascii="Times New Roman" w:eastAsia="Calibri" w:hAnsi="Times New Roman" w:cs="Times New Roman"/>
          <w:sz w:val="24"/>
          <w:szCs w:val="24"/>
        </w:rPr>
        <w:t>R</w:t>
      </w:r>
      <w:r w:rsidR="00175E7A" w:rsidRPr="00E219BA">
        <w:rPr>
          <w:rFonts w:ascii="Times New Roman" w:eastAsia="Calibri" w:hAnsi="Times New Roman" w:cs="Times New Roman"/>
          <w:sz w:val="24"/>
          <w:szCs w:val="24"/>
        </w:rPr>
        <w:t xml:space="preserve">andomly </w:t>
      </w:r>
      <w:r w:rsidR="00355233" w:rsidRPr="00E219BA">
        <w:rPr>
          <w:rFonts w:ascii="Times New Roman" w:eastAsia="Calibri" w:hAnsi="Times New Roman" w:cs="Times New Roman"/>
          <w:sz w:val="24"/>
          <w:szCs w:val="24"/>
        </w:rPr>
        <w:t>s</w:t>
      </w:r>
      <w:r w:rsidRPr="00E219BA">
        <w:rPr>
          <w:rFonts w:ascii="Times New Roman" w:eastAsia="Calibri" w:hAnsi="Times New Roman" w:cs="Times New Roman"/>
          <w:sz w:val="24"/>
          <w:szCs w:val="24"/>
        </w:rPr>
        <w:t xml:space="preserve">elect </w:t>
      </w:r>
      <w:r w:rsidR="00175E7A" w:rsidRPr="00E219BA">
        <w:rPr>
          <w:rFonts w:ascii="Times New Roman" w:eastAsia="Calibri" w:hAnsi="Times New Roman" w:cs="Times New Roman"/>
          <w:sz w:val="24"/>
          <w:szCs w:val="24"/>
        </w:rPr>
        <w:t>5 reimbursements</w:t>
      </w:r>
      <w:r w:rsidR="00E219BA">
        <w:rPr>
          <w:rFonts w:ascii="Times New Roman" w:eastAsia="Calibri" w:hAnsi="Times New Roman" w:cs="Times New Roman"/>
          <w:sz w:val="24"/>
          <w:szCs w:val="24"/>
        </w:rPr>
        <w:t>, o</w:t>
      </w:r>
      <w:r w:rsidRPr="00A54BEA">
        <w:rPr>
          <w:rFonts w:ascii="Times New Roman" w:eastAsia="Calibri" w:hAnsi="Times New Roman" w:cs="Times New Roman"/>
          <w:sz w:val="24"/>
          <w:szCs w:val="24"/>
        </w:rPr>
        <w:t xml:space="preserve">btain the </w:t>
      </w:r>
      <w:r w:rsidR="00E219BA" w:rsidRPr="00A54BEA">
        <w:rPr>
          <w:rFonts w:ascii="Times New Roman" w:eastAsia="Calibri" w:hAnsi="Times New Roman" w:cs="Times New Roman"/>
          <w:sz w:val="24"/>
          <w:szCs w:val="24"/>
        </w:rPr>
        <w:t xml:space="preserve">related </w:t>
      </w:r>
      <w:r w:rsidRPr="00A54BEA">
        <w:rPr>
          <w:rFonts w:ascii="Times New Roman" w:eastAsia="Calibri" w:hAnsi="Times New Roman" w:cs="Times New Roman"/>
          <w:sz w:val="24"/>
          <w:szCs w:val="24"/>
        </w:rPr>
        <w:t xml:space="preserve">expense reimbursement </w:t>
      </w:r>
      <w:r w:rsidR="00E219BA" w:rsidRPr="00A54BEA">
        <w:rPr>
          <w:rFonts w:ascii="Times New Roman" w:eastAsia="Calibri" w:hAnsi="Times New Roman" w:cs="Times New Roman"/>
          <w:sz w:val="24"/>
          <w:szCs w:val="24"/>
        </w:rPr>
        <w:t>forms</w:t>
      </w:r>
      <w:r w:rsidR="00B516ED" w:rsidRPr="00A54BEA">
        <w:rPr>
          <w:rFonts w:ascii="Times New Roman" w:eastAsia="Calibri" w:hAnsi="Times New Roman" w:cs="Times New Roman"/>
          <w:sz w:val="24"/>
          <w:szCs w:val="24"/>
        </w:rPr>
        <w:t>/</w:t>
      </w:r>
      <w:r w:rsidR="006D4518" w:rsidRPr="00A54BEA">
        <w:rPr>
          <w:rFonts w:ascii="Times New Roman" w:eastAsia="Calibri" w:hAnsi="Times New Roman" w:cs="Times New Roman"/>
          <w:sz w:val="24"/>
          <w:szCs w:val="24"/>
        </w:rPr>
        <w:t>prepaid expense documentation</w:t>
      </w:r>
      <w:r w:rsidRPr="00A54BEA">
        <w:rPr>
          <w:rFonts w:ascii="Times New Roman" w:eastAsia="Calibri" w:hAnsi="Times New Roman" w:cs="Times New Roman"/>
          <w:sz w:val="24"/>
          <w:szCs w:val="24"/>
        </w:rPr>
        <w:t xml:space="preserve"> of each selected </w:t>
      </w:r>
      <w:r w:rsidR="00175E7A" w:rsidRPr="00A54BEA">
        <w:rPr>
          <w:rFonts w:ascii="Times New Roman" w:eastAsia="Calibri" w:hAnsi="Times New Roman" w:cs="Times New Roman"/>
          <w:sz w:val="24"/>
          <w:szCs w:val="24"/>
        </w:rPr>
        <w:t>reimbursement</w:t>
      </w:r>
      <w:r w:rsidR="00E219BA" w:rsidRPr="00A54BEA">
        <w:rPr>
          <w:rFonts w:ascii="Times New Roman" w:eastAsia="Calibri" w:hAnsi="Times New Roman" w:cs="Times New Roman"/>
          <w:sz w:val="24"/>
          <w:szCs w:val="24"/>
        </w:rPr>
        <w:t>, as well as</w:t>
      </w:r>
      <w:r w:rsidRPr="00A54BEA">
        <w:rPr>
          <w:rFonts w:ascii="Times New Roman" w:eastAsia="Calibri" w:hAnsi="Times New Roman" w:cs="Times New Roman"/>
          <w:sz w:val="24"/>
          <w:szCs w:val="24"/>
        </w:rPr>
        <w:t xml:space="preserve"> the supporting documentation</w:t>
      </w:r>
      <w:r w:rsidR="002D4E2A" w:rsidRPr="00A54BEA">
        <w:rPr>
          <w:rFonts w:ascii="Times New Roman" w:eastAsia="Calibri" w:hAnsi="Times New Roman" w:cs="Times New Roman"/>
          <w:sz w:val="24"/>
          <w:szCs w:val="24"/>
        </w:rPr>
        <w:t xml:space="preserve">.  For each </w:t>
      </w:r>
      <w:r w:rsidR="00355233" w:rsidRPr="00A54BEA">
        <w:rPr>
          <w:rFonts w:ascii="Times New Roman" w:eastAsia="Calibri" w:hAnsi="Times New Roman" w:cs="Times New Roman"/>
          <w:sz w:val="24"/>
          <w:szCs w:val="24"/>
        </w:rPr>
        <w:t xml:space="preserve">of the </w:t>
      </w:r>
      <w:r w:rsidR="00966BD0" w:rsidRPr="00A54BEA">
        <w:rPr>
          <w:rFonts w:ascii="Times New Roman" w:eastAsia="Calibri" w:hAnsi="Times New Roman" w:cs="Times New Roman"/>
          <w:sz w:val="24"/>
          <w:szCs w:val="24"/>
        </w:rPr>
        <w:t>5 reimbursements</w:t>
      </w:r>
      <w:r w:rsidR="002D4E2A" w:rsidRPr="00A54BEA">
        <w:rPr>
          <w:rFonts w:ascii="Times New Roman" w:eastAsia="Calibri" w:hAnsi="Times New Roman" w:cs="Times New Roman"/>
          <w:sz w:val="24"/>
          <w:szCs w:val="24"/>
        </w:rPr>
        <w:t xml:space="preserve"> selected</w:t>
      </w:r>
      <w:r w:rsidRPr="00A54BEA">
        <w:rPr>
          <w:rFonts w:ascii="Times New Roman" w:eastAsia="Calibri" w:hAnsi="Times New Roman" w:cs="Times New Roman"/>
          <w:sz w:val="24"/>
          <w:szCs w:val="24"/>
        </w:rPr>
        <w:t>:</w:t>
      </w:r>
    </w:p>
    <w:p w14:paraId="0FF2BA93" w14:textId="77777777" w:rsidR="00FD2A2F" w:rsidRDefault="00FD2A2F" w:rsidP="00FD2A2F">
      <w:pPr>
        <w:spacing w:after="0" w:line="240" w:lineRule="auto"/>
        <w:ind w:left="720"/>
        <w:jc w:val="both"/>
        <w:rPr>
          <w:rFonts w:ascii="Times New Roman" w:hAnsi="Times New Roman"/>
          <w:sz w:val="24"/>
          <w:szCs w:val="24"/>
        </w:rPr>
      </w:pPr>
    </w:p>
    <w:p w14:paraId="6DEC4502" w14:textId="3A3DDBEC" w:rsidR="00301E94" w:rsidRPr="00FD2A2F" w:rsidRDefault="00E219BA" w:rsidP="00FD2A2F">
      <w:pPr>
        <w:numPr>
          <w:ilvl w:val="0"/>
          <w:numId w:val="31"/>
        </w:numPr>
        <w:spacing w:after="120" w:line="240" w:lineRule="auto"/>
        <w:jc w:val="both"/>
        <w:rPr>
          <w:rFonts w:ascii="Times New Roman" w:hAnsi="Times New Roman"/>
          <w:sz w:val="24"/>
          <w:szCs w:val="24"/>
        </w:rPr>
      </w:pPr>
      <w:r>
        <w:rPr>
          <w:rFonts w:ascii="Times New Roman" w:hAnsi="Times New Roman"/>
          <w:sz w:val="24"/>
          <w:szCs w:val="24"/>
        </w:rPr>
        <w:t xml:space="preserve">If reimbursed using a per </w:t>
      </w:r>
      <w:r w:rsidRPr="00C36FD3">
        <w:rPr>
          <w:rFonts w:ascii="Times New Roman" w:hAnsi="Times New Roman"/>
          <w:sz w:val="24"/>
          <w:szCs w:val="24"/>
        </w:rPr>
        <w:t xml:space="preserve">diem, </w:t>
      </w:r>
      <w:r w:rsidR="00425BD7" w:rsidRPr="0096411C">
        <w:rPr>
          <w:rFonts w:ascii="Times New Roman" w:hAnsi="Times New Roman"/>
          <w:sz w:val="24"/>
          <w:szCs w:val="24"/>
        </w:rPr>
        <w:t>observe the approved reimbursement rate is no more than those</w:t>
      </w:r>
      <w:r w:rsidR="00425BD7" w:rsidRPr="00C36FD3">
        <w:rPr>
          <w:rFonts w:ascii="Times New Roman" w:hAnsi="Times New Roman"/>
          <w:sz w:val="24"/>
          <w:szCs w:val="24"/>
        </w:rPr>
        <w:t xml:space="preserve"> </w:t>
      </w:r>
      <w:r w:rsidR="0064528B" w:rsidRPr="00C36FD3">
        <w:rPr>
          <w:rFonts w:ascii="Times New Roman" w:hAnsi="Times New Roman"/>
          <w:sz w:val="24"/>
          <w:szCs w:val="24"/>
        </w:rPr>
        <w:t>rates established either by the State of Louisiana</w:t>
      </w:r>
      <w:r w:rsidR="0064528B">
        <w:rPr>
          <w:rFonts w:ascii="Times New Roman" w:hAnsi="Times New Roman"/>
          <w:sz w:val="24"/>
          <w:szCs w:val="24"/>
        </w:rPr>
        <w:t xml:space="preserve"> or the U.S. General Services Administration (</w:t>
      </w:r>
      <w:hyperlink r:id="rId9" w:history="1">
        <w:r w:rsidR="0064528B" w:rsidRPr="00275124">
          <w:rPr>
            <w:rStyle w:val="Hyperlink"/>
            <w:rFonts w:ascii="Times New Roman" w:hAnsi="Times New Roman"/>
            <w:sz w:val="24"/>
            <w:szCs w:val="24"/>
          </w:rPr>
          <w:t>www.gsa.gov</w:t>
        </w:r>
      </w:hyperlink>
      <w:r w:rsidR="0064528B">
        <w:rPr>
          <w:rFonts w:ascii="Times New Roman" w:hAnsi="Times New Roman"/>
          <w:sz w:val="24"/>
          <w:szCs w:val="24"/>
        </w:rPr>
        <w:t>).</w:t>
      </w:r>
      <w:r w:rsidR="0066421F">
        <w:rPr>
          <w:rFonts w:ascii="Times New Roman" w:hAnsi="Times New Roman"/>
          <w:sz w:val="24"/>
          <w:szCs w:val="24"/>
        </w:rPr>
        <w:t xml:space="preserve"> </w:t>
      </w:r>
    </w:p>
    <w:p w14:paraId="1C2052FE" w14:textId="6B8A042C" w:rsidR="00FD2A2F" w:rsidRPr="00355233" w:rsidRDefault="0064528B" w:rsidP="00FD2A2F">
      <w:pPr>
        <w:numPr>
          <w:ilvl w:val="0"/>
          <w:numId w:val="31"/>
        </w:numPr>
        <w:spacing w:after="120"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If reimbursed using actual costs, observe</w:t>
      </w:r>
      <w:r w:rsidR="00FD2A2F">
        <w:rPr>
          <w:rFonts w:ascii="Times New Roman" w:eastAsia="Times New Roman" w:hAnsi="Times New Roman" w:cs="Times New Roman"/>
          <w:sz w:val="24"/>
          <w:szCs w:val="24"/>
        </w:rPr>
        <w:t xml:space="preserve"> the reimbursement is supported by an </w:t>
      </w:r>
      <w:r w:rsidR="00FD2A2F" w:rsidRPr="00263767">
        <w:rPr>
          <w:rFonts w:ascii="Times New Roman" w:eastAsia="Calibri" w:hAnsi="Times New Roman" w:cs="Times New Roman"/>
          <w:sz w:val="24"/>
          <w:szCs w:val="24"/>
        </w:rPr>
        <w:t>original itemized receipt that identifies precisely what was purchased</w:t>
      </w:r>
      <w:r w:rsidR="00FD2A2F">
        <w:rPr>
          <w:rFonts w:ascii="Times New Roman" w:eastAsia="Calibri" w:hAnsi="Times New Roman" w:cs="Times New Roman"/>
          <w:sz w:val="24"/>
          <w:szCs w:val="24"/>
        </w:rPr>
        <w:t>.</w:t>
      </w:r>
    </w:p>
    <w:p w14:paraId="1F1C9817" w14:textId="577F4306" w:rsidR="00823086" w:rsidRPr="00FD2A2F" w:rsidRDefault="0064528B" w:rsidP="00FD2A2F">
      <w:pPr>
        <w:numPr>
          <w:ilvl w:val="0"/>
          <w:numId w:val="31"/>
        </w:numPr>
        <w:spacing w:after="120" w:line="240" w:lineRule="auto"/>
        <w:ind w:left="806"/>
        <w:jc w:val="both"/>
        <w:rPr>
          <w:rFonts w:ascii="Times New Roman" w:eastAsia="Calibri" w:hAnsi="Times New Roman" w:cs="Times New Roman"/>
          <w:sz w:val="24"/>
          <w:szCs w:val="24"/>
        </w:rPr>
      </w:pPr>
      <w:r>
        <w:rPr>
          <w:rFonts w:ascii="Times New Roman" w:hAnsi="Times New Roman"/>
          <w:sz w:val="24"/>
          <w:szCs w:val="24"/>
        </w:rPr>
        <w:t>Observe</w:t>
      </w:r>
      <w:r w:rsidR="004574EE" w:rsidRPr="00FD2A2F">
        <w:rPr>
          <w:rFonts w:ascii="Times New Roman" w:hAnsi="Times New Roman"/>
          <w:sz w:val="24"/>
          <w:szCs w:val="24"/>
        </w:rPr>
        <w:t xml:space="preserve"> each</w:t>
      </w:r>
      <w:r w:rsidR="00823086" w:rsidRPr="00FD2A2F">
        <w:rPr>
          <w:rFonts w:ascii="Times New Roman" w:hAnsi="Times New Roman"/>
          <w:sz w:val="24"/>
          <w:szCs w:val="24"/>
        </w:rPr>
        <w:t xml:space="preserve"> </w:t>
      </w:r>
      <w:r w:rsidR="00966BD0" w:rsidRPr="00FD2A2F">
        <w:rPr>
          <w:rFonts w:ascii="Times New Roman" w:hAnsi="Times New Roman"/>
          <w:sz w:val="24"/>
          <w:szCs w:val="24"/>
        </w:rPr>
        <w:t>reimbursement</w:t>
      </w:r>
      <w:r w:rsidR="00FD2A2F" w:rsidRPr="00FD2A2F">
        <w:rPr>
          <w:rFonts w:ascii="Times New Roman" w:hAnsi="Times New Roman"/>
          <w:sz w:val="24"/>
          <w:szCs w:val="24"/>
        </w:rPr>
        <w:t xml:space="preserve"> is supported by d</w:t>
      </w:r>
      <w:r w:rsidR="00823086" w:rsidRPr="00FD2A2F">
        <w:rPr>
          <w:rFonts w:ascii="Times New Roman" w:eastAsia="Calibri" w:hAnsi="Times New Roman" w:cs="Times New Roman"/>
          <w:sz w:val="24"/>
          <w:szCs w:val="24"/>
        </w:rPr>
        <w:t>ocumentation of the business/public purpose (</w:t>
      </w:r>
      <w:r w:rsidR="00FD2A2F" w:rsidRPr="00FD2A2F">
        <w:rPr>
          <w:rFonts w:ascii="Times New Roman" w:eastAsia="Calibri" w:hAnsi="Times New Roman" w:cs="Times New Roman"/>
          <w:sz w:val="24"/>
          <w:szCs w:val="24"/>
        </w:rPr>
        <w:t>f</w:t>
      </w:r>
      <w:r w:rsidR="00823086" w:rsidRPr="00FD2A2F">
        <w:rPr>
          <w:rFonts w:ascii="Times New Roman" w:eastAsia="Calibri" w:hAnsi="Times New Roman" w:cs="Times New Roman"/>
          <w:sz w:val="24"/>
          <w:szCs w:val="24"/>
        </w:rPr>
        <w:t xml:space="preserve">or meal charges, </w:t>
      </w:r>
      <w:r w:rsidR="00B516ED">
        <w:rPr>
          <w:rFonts w:ascii="Times New Roman" w:eastAsia="Calibri" w:hAnsi="Times New Roman" w:cs="Times New Roman"/>
          <w:sz w:val="24"/>
          <w:szCs w:val="24"/>
        </w:rPr>
        <w:t>observe that the documentation includes the names of those</w:t>
      </w:r>
      <w:r w:rsidR="00823086" w:rsidRPr="00FD2A2F">
        <w:rPr>
          <w:rFonts w:ascii="Times New Roman" w:eastAsia="Calibri" w:hAnsi="Times New Roman" w:cs="Times New Roman"/>
          <w:sz w:val="24"/>
          <w:szCs w:val="24"/>
        </w:rPr>
        <w:t xml:space="preserve"> individuals participating)</w:t>
      </w:r>
      <w:r w:rsidR="00FD2A2F" w:rsidRPr="00FD2A2F">
        <w:rPr>
          <w:rFonts w:ascii="Times New Roman" w:eastAsia="Calibri" w:hAnsi="Times New Roman" w:cs="Times New Roman"/>
          <w:sz w:val="24"/>
          <w:szCs w:val="24"/>
        </w:rPr>
        <w:t xml:space="preserve"> and </w:t>
      </w:r>
      <w:r w:rsidR="00021626">
        <w:rPr>
          <w:rFonts w:ascii="Times New Roman" w:eastAsia="Calibri" w:hAnsi="Times New Roman" w:cs="Times New Roman"/>
          <w:sz w:val="24"/>
          <w:szCs w:val="24"/>
        </w:rPr>
        <w:t xml:space="preserve">other documentation </w:t>
      </w:r>
      <w:r w:rsidR="00823086" w:rsidRPr="00FD2A2F">
        <w:rPr>
          <w:rFonts w:ascii="Times New Roman" w:eastAsia="Calibri" w:hAnsi="Times New Roman" w:cs="Times New Roman"/>
          <w:sz w:val="24"/>
          <w:szCs w:val="24"/>
        </w:rPr>
        <w:t xml:space="preserve">required by </w:t>
      </w:r>
      <w:r w:rsidR="004574EE" w:rsidRPr="00FD2A2F">
        <w:rPr>
          <w:rFonts w:ascii="Times New Roman" w:eastAsia="Calibri" w:hAnsi="Times New Roman" w:cs="Times New Roman"/>
          <w:sz w:val="24"/>
          <w:szCs w:val="24"/>
        </w:rPr>
        <w:t xml:space="preserve">written </w:t>
      </w:r>
      <w:r w:rsidR="00823086" w:rsidRPr="00FD2A2F">
        <w:rPr>
          <w:rFonts w:ascii="Times New Roman" w:eastAsia="Calibri" w:hAnsi="Times New Roman" w:cs="Times New Roman"/>
          <w:sz w:val="24"/>
          <w:szCs w:val="24"/>
        </w:rPr>
        <w:t>policy (</w:t>
      </w:r>
      <w:r w:rsidR="00021626">
        <w:rPr>
          <w:rFonts w:ascii="Times New Roman" w:eastAsia="Calibri" w:hAnsi="Times New Roman" w:cs="Times New Roman"/>
          <w:sz w:val="24"/>
          <w:szCs w:val="24"/>
        </w:rPr>
        <w:t>procedure #1h</w:t>
      </w:r>
      <w:r w:rsidR="00823086" w:rsidRPr="00FD2A2F">
        <w:rPr>
          <w:rFonts w:ascii="Times New Roman" w:eastAsia="Calibri" w:hAnsi="Times New Roman" w:cs="Times New Roman"/>
          <w:sz w:val="24"/>
          <w:szCs w:val="24"/>
        </w:rPr>
        <w:t>)</w:t>
      </w:r>
      <w:r w:rsidR="00FD2A2F">
        <w:rPr>
          <w:rFonts w:ascii="Times New Roman" w:eastAsia="Calibri" w:hAnsi="Times New Roman" w:cs="Times New Roman"/>
          <w:sz w:val="24"/>
          <w:szCs w:val="24"/>
        </w:rPr>
        <w:t>.</w:t>
      </w:r>
    </w:p>
    <w:p w14:paraId="27037E94" w14:textId="2102890E" w:rsidR="00823086" w:rsidRPr="004574EE" w:rsidRDefault="0064528B" w:rsidP="00C471F1">
      <w:pPr>
        <w:numPr>
          <w:ilvl w:val="0"/>
          <w:numId w:val="31"/>
        </w:numPr>
        <w:spacing w:before="120" w:after="0" w:line="240" w:lineRule="auto"/>
        <w:jc w:val="both"/>
        <w:rPr>
          <w:rFonts w:ascii="Times New Roman" w:hAnsi="Times New Roman"/>
          <w:sz w:val="24"/>
          <w:szCs w:val="24"/>
        </w:rPr>
      </w:pPr>
      <w:r>
        <w:rPr>
          <w:rFonts w:ascii="Times New Roman" w:hAnsi="Times New Roman"/>
          <w:sz w:val="24"/>
          <w:szCs w:val="24"/>
        </w:rPr>
        <w:t>Observe</w:t>
      </w:r>
      <w:r w:rsidR="00823086" w:rsidRPr="004574EE">
        <w:rPr>
          <w:rFonts w:ascii="Times New Roman" w:hAnsi="Times New Roman"/>
          <w:sz w:val="24"/>
          <w:szCs w:val="24"/>
        </w:rPr>
        <w:t xml:space="preserve"> each </w:t>
      </w:r>
      <w:r w:rsidR="00B516ED">
        <w:rPr>
          <w:rFonts w:ascii="Times New Roman" w:hAnsi="Times New Roman"/>
          <w:sz w:val="24"/>
          <w:szCs w:val="24"/>
        </w:rPr>
        <w:t>reimbursement</w:t>
      </w:r>
      <w:r w:rsidR="00823086" w:rsidRPr="004574EE">
        <w:rPr>
          <w:rFonts w:ascii="Times New Roman" w:hAnsi="Times New Roman"/>
          <w:sz w:val="24"/>
          <w:szCs w:val="24"/>
        </w:rPr>
        <w:t xml:space="preserve"> was reviewed and approved, in writing, by someone other than the p</w:t>
      </w:r>
      <w:r w:rsidR="00A7225A" w:rsidRPr="004574EE">
        <w:rPr>
          <w:rFonts w:ascii="Times New Roman" w:hAnsi="Times New Roman"/>
          <w:sz w:val="24"/>
          <w:szCs w:val="24"/>
        </w:rPr>
        <w:t>erson receiving reimbursement.</w:t>
      </w:r>
    </w:p>
    <w:p w14:paraId="4C1BAD89" w14:textId="77777777" w:rsidR="007D679A" w:rsidRDefault="007D679A" w:rsidP="00823086">
      <w:pPr>
        <w:spacing w:after="0" w:line="240" w:lineRule="auto"/>
        <w:rPr>
          <w:rFonts w:ascii="Times New Roman" w:eastAsia="Times New Roman" w:hAnsi="Times New Roman" w:cs="Times New Roman"/>
          <w:b/>
          <w:i/>
          <w:sz w:val="24"/>
          <w:szCs w:val="24"/>
        </w:rPr>
      </w:pPr>
    </w:p>
    <w:p w14:paraId="5CDD3C55" w14:textId="77777777" w:rsidR="00823086" w:rsidRPr="009C283F" w:rsidRDefault="00823086" w:rsidP="00823086">
      <w:pPr>
        <w:pBdr>
          <w:bottom w:val="single" w:sz="4" w:space="1" w:color="auto"/>
        </w:pBdr>
        <w:spacing w:after="0" w:line="240" w:lineRule="auto"/>
        <w:rPr>
          <w:rFonts w:ascii="Times New Roman" w:eastAsia="Times New Roman" w:hAnsi="Times New Roman" w:cs="Times New Roman"/>
          <w:b/>
          <w:i/>
          <w:color w:val="000000"/>
          <w:sz w:val="24"/>
          <w:szCs w:val="24"/>
        </w:rPr>
      </w:pPr>
      <w:r w:rsidRPr="007C54E7">
        <w:rPr>
          <w:rFonts w:ascii="Times New Roman" w:eastAsia="Times New Roman" w:hAnsi="Times New Roman" w:cs="Times New Roman"/>
          <w:b/>
          <w:i/>
          <w:color w:val="000000"/>
          <w:sz w:val="24"/>
          <w:szCs w:val="24"/>
        </w:rPr>
        <w:t>Contracts</w:t>
      </w:r>
    </w:p>
    <w:p w14:paraId="2E60615F" w14:textId="77777777" w:rsidR="00823086" w:rsidRPr="009C283F" w:rsidRDefault="00823086" w:rsidP="00823086">
      <w:pPr>
        <w:spacing w:after="0" w:line="240" w:lineRule="auto"/>
        <w:rPr>
          <w:rFonts w:ascii="Times New Roman" w:eastAsia="Times New Roman" w:hAnsi="Times New Roman" w:cs="Times New Roman"/>
          <w:sz w:val="24"/>
          <w:szCs w:val="24"/>
        </w:rPr>
      </w:pPr>
    </w:p>
    <w:p w14:paraId="428440D8" w14:textId="77777777" w:rsidR="00420985" w:rsidRDefault="00420985" w:rsidP="009B2EAD">
      <w:pPr>
        <w:numPr>
          <w:ilvl w:val="0"/>
          <w:numId w:val="10"/>
        </w:numPr>
        <w:spacing w:after="120" w:line="240" w:lineRule="auto"/>
        <w:jc w:val="both"/>
        <w:rPr>
          <w:rFonts w:ascii="Times New Roman" w:eastAsia="Calibri" w:hAnsi="Times New Roman" w:cs="Times New Roman"/>
          <w:sz w:val="24"/>
          <w:szCs w:val="24"/>
        </w:rPr>
      </w:pPr>
      <w:r w:rsidRPr="00500B09">
        <w:rPr>
          <w:rFonts w:ascii="Times New Roman" w:eastAsia="Calibri" w:hAnsi="Times New Roman" w:cs="Times New Roman"/>
          <w:sz w:val="24"/>
          <w:szCs w:val="24"/>
        </w:rPr>
        <w:t>Obtain from management a listing of all agreements</w:t>
      </w:r>
      <w:r w:rsidR="004A671E">
        <w:rPr>
          <w:rFonts w:ascii="Times New Roman" w:eastAsia="Calibri" w:hAnsi="Times New Roman" w:cs="Times New Roman"/>
          <w:sz w:val="24"/>
          <w:szCs w:val="24"/>
        </w:rPr>
        <w:t>/contracts</w:t>
      </w:r>
      <w:r w:rsidRPr="00500B09">
        <w:rPr>
          <w:rFonts w:ascii="Times New Roman" w:eastAsia="Calibri" w:hAnsi="Times New Roman" w:cs="Times New Roman"/>
          <w:sz w:val="24"/>
          <w:szCs w:val="24"/>
        </w:rPr>
        <w:t xml:space="preserve"> for professional service</w:t>
      </w:r>
      <w:r w:rsidR="00500B09">
        <w:rPr>
          <w:rFonts w:ascii="Times New Roman" w:eastAsia="Calibri" w:hAnsi="Times New Roman" w:cs="Times New Roman"/>
          <w:sz w:val="24"/>
          <w:szCs w:val="24"/>
        </w:rPr>
        <w:t>s</w:t>
      </w:r>
      <w:r w:rsidRPr="00500B09">
        <w:rPr>
          <w:rFonts w:ascii="Times New Roman" w:eastAsia="Calibri" w:hAnsi="Times New Roman" w:cs="Times New Roman"/>
          <w:sz w:val="24"/>
          <w:szCs w:val="24"/>
        </w:rPr>
        <w:t xml:space="preserve">, materials and supplies, </w:t>
      </w:r>
      <w:r w:rsidR="0048403F">
        <w:rPr>
          <w:rFonts w:ascii="Times New Roman" w:eastAsia="Calibri" w:hAnsi="Times New Roman" w:cs="Times New Roman"/>
          <w:sz w:val="24"/>
          <w:szCs w:val="24"/>
        </w:rPr>
        <w:t xml:space="preserve">leases, </w:t>
      </w:r>
      <w:r w:rsidRPr="00500B09">
        <w:rPr>
          <w:rFonts w:ascii="Times New Roman" w:eastAsia="Calibri" w:hAnsi="Times New Roman" w:cs="Times New Roman"/>
          <w:sz w:val="24"/>
          <w:szCs w:val="24"/>
        </w:rPr>
        <w:t>and construction</w:t>
      </w:r>
      <w:r w:rsidR="00500B09">
        <w:rPr>
          <w:rFonts w:ascii="Times New Roman" w:eastAsia="Calibri" w:hAnsi="Times New Roman" w:cs="Times New Roman"/>
          <w:sz w:val="24"/>
          <w:szCs w:val="24"/>
        </w:rPr>
        <w:t xml:space="preserve"> activities</w:t>
      </w:r>
      <w:r w:rsidR="0048403F">
        <w:rPr>
          <w:rFonts w:ascii="Times New Roman" w:eastAsia="Calibri" w:hAnsi="Times New Roman" w:cs="Times New Roman"/>
          <w:sz w:val="24"/>
          <w:szCs w:val="24"/>
        </w:rPr>
        <w:t xml:space="preserve"> that were initiated</w:t>
      </w:r>
      <w:r w:rsidR="00841BD7">
        <w:rPr>
          <w:rFonts w:ascii="Times New Roman" w:eastAsia="Calibri" w:hAnsi="Times New Roman" w:cs="Times New Roman"/>
          <w:sz w:val="24"/>
          <w:szCs w:val="24"/>
        </w:rPr>
        <w:t xml:space="preserve"> or renewed</w:t>
      </w:r>
      <w:r w:rsidR="0048403F">
        <w:rPr>
          <w:rFonts w:ascii="Times New Roman" w:eastAsia="Calibri" w:hAnsi="Times New Roman" w:cs="Times New Roman"/>
          <w:sz w:val="24"/>
          <w:szCs w:val="24"/>
        </w:rPr>
        <w:t xml:space="preserve"> during the fiscal period.  </w:t>
      </w:r>
      <w:r w:rsidR="00231F20" w:rsidRPr="00231F20">
        <w:rPr>
          <w:rFonts w:ascii="Times New Roman" w:eastAsia="Calibri" w:hAnsi="Times New Roman" w:cs="Times New Roman"/>
          <w:i/>
          <w:sz w:val="24"/>
          <w:szCs w:val="24"/>
        </w:rPr>
        <w:t>Alternately, the practitioner may us</w:t>
      </w:r>
      <w:r w:rsidR="00E574CA">
        <w:rPr>
          <w:rFonts w:ascii="Times New Roman" w:eastAsia="Calibri" w:hAnsi="Times New Roman" w:cs="Times New Roman"/>
          <w:i/>
          <w:sz w:val="24"/>
          <w:szCs w:val="24"/>
        </w:rPr>
        <w:t>e an equivalent selection source</w:t>
      </w:r>
      <w:r w:rsidR="00231F20" w:rsidRPr="00231F20">
        <w:rPr>
          <w:rFonts w:ascii="Times New Roman" w:eastAsia="Calibri" w:hAnsi="Times New Roman" w:cs="Times New Roman"/>
          <w:i/>
          <w:sz w:val="24"/>
          <w:szCs w:val="24"/>
        </w:rPr>
        <w:t>, such as an active vendor list.</w:t>
      </w:r>
      <w:r w:rsidR="00231F20">
        <w:rPr>
          <w:rFonts w:ascii="Times New Roman" w:eastAsia="Calibri" w:hAnsi="Times New Roman" w:cs="Times New Roman"/>
          <w:sz w:val="24"/>
          <w:szCs w:val="24"/>
        </w:rPr>
        <w:t xml:space="preserve">  </w:t>
      </w:r>
      <w:r w:rsidR="0048403F">
        <w:rPr>
          <w:rFonts w:ascii="Times New Roman" w:eastAsia="Calibri" w:hAnsi="Times New Roman" w:cs="Times New Roman"/>
          <w:sz w:val="24"/>
          <w:szCs w:val="24"/>
        </w:rPr>
        <w:t>Obtain</w:t>
      </w:r>
      <w:r w:rsidRPr="00500B09">
        <w:rPr>
          <w:rFonts w:ascii="Times New Roman" w:eastAsia="Calibri" w:hAnsi="Times New Roman" w:cs="Times New Roman"/>
          <w:sz w:val="24"/>
          <w:szCs w:val="24"/>
        </w:rPr>
        <w:t xml:space="preserve"> management’s representation that the listing is complete.</w:t>
      </w:r>
      <w:r w:rsidR="004A671E">
        <w:rPr>
          <w:rFonts w:ascii="Times New Roman" w:eastAsia="Calibri" w:hAnsi="Times New Roman" w:cs="Times New Roman"/>
          <w:sz w:val="24"/>
          <w:szCs w:val="24"/>
        </w:rPr>
        <w:t xml:space="preserve">  Randomly select 5 contracts</w:t>
      </w:r>
      <w:r w:rsidR="0048403F">
        <w:rPr>
          <w:rFonts w:ascii="Times New Roman" w:eastAsia="Calibri" w:hAnsi="Times New Roman" w:cs="Times New Roman"/>
          <w:sz w:val="24"/>
          <w:szCs w:val="24"/>
        </w:rPr>
        <w:t xml:space="preserve"> </w:t>
      </w:r>
      <w:r w:rsidR="00841BD7">
        <w:rPr>
          <w:rFonts w:ascii="Times New Roman" w:eastAsia="Calibri" w:hAnsi="Times New Roman" w:cs="Times New Roman"/>
          <w:sz w:val="24"/>
          <w:szCs w:val="24"/>
        </w:rPr>
        <w:t xml:space="preserve">(or all contracts if less than 5) </w:t>
      </w:r>
      <w:r w:rsidR="0048403F">
        <w:rPr>
          <w:rFonts w:ascii="Times New Roman" w:eastAsia="Calibri" w:hAnsi="Times New Roman" w:cs="Times New Roman"/>
          <w:sz w:val="24"/>
          <w:szCs w:val="24"/>
        </w:rPr>
        <w:t>from the listing</w:t>
      </w:r>
      <w:r w:rsidR="00841BD7">
        <w:rPr>
          <w:rFonts w:ascii="Times New Roman" w:eastAsia="Calibri" w:hAnsi="Times New Roman" w:cs="Times New Roman"/>
          <w:sz w:val="24"/>
          <w:szCs w:val="24"/>
        </w:rPr>
        <w:t xml:space="preserve">, </w:t>
      </w:r>
      <w:r w:rsidR="004A671E" w:rsidRPr="00231F20">
        <w:rPr>
          <w:rFonts w:ascii="Times New Roman" w:eastAsia="Calibri" w:hAnsi="Times New Roman" w:cs="Times New Roman"/>
          <w:sz w:val="24"/>
          <w:szCs w:val="24"/>
          <w:u w:val="single"/>
        </w:rPr>
        <w:t xml:space="preserve">excluding </w:t>
      </w:r>
      <w:r w:rsidR="00B516ED" w:rsidRPr="00231F20">
        <w:rPr>
          <w:rFonts w:ascii="Times New Roman" w:eastAsia="Calibri" w:hAnsi="Times New Roman" w:cs="Times New Roman"/>
          <w:sz w:val="24"/>
          <w:szCs w:val="24"/>
          <w:u w:val="single"/>
        </w:rPr>
        <w:t xml:space="preserve">the </w:t>
      </w:r>
      <w:r w:rsidR="00841BD7" w:rsidRPr="00231F20">
        <w:rPr>
          <w:rFonts w:ascii="Times New Roman" w:eastAsia="Calibri" w:hAnsi="Times New Roman" w:cs="Times New Roman"/>
          <w:sz w:val="24"/>
          <w:szCs w:val="24"/>
          <w:u w:val="single"/>
        </w:rPr>
        <w:t>practitioner’s contract</w:t>
      </w:r>
      <w:r w:rsidR="00841BD7">
        <w:rPr>
          <w:rFonts w:ascii="Times New Roman" w:eastAsia="Calibri" w:hAnsi="Times New Roman" w:cs="Times New Roman"/>
          <w:sz w:val="24"/>
          <w:szCs w:val="24"/>
        </w:rPr>
        <w:t>,</w:t>
      </w:r>
      <w:r w:rsidR="0048403F">
        <w:rPr>
          <w:rFonts w:ascii="Times New Roman" w:eastAsia="Calibri" w:hAnsi="Times New Roman" w:cs="Times New Roman"/>
          <w:sz w:val="24"/>
          <w:szCs w:val="24"/>
        </w:rPr>
        <w:t xml:space="preserve"> and</w:t>
      </w:r>
      <w:r w:rsidR="004A671E">
        <w:rPr>
          <w:rFonts w:ascii="Times New Roman" w:eastAsia="Calibri" w:hAnsi="Times New Roman" w:cs="Times New Roman"/>
          <w:sz w:val="24"/>
          <w:szCs w:val="24"/>
        </w:rPr>
        <w:t>:</w:t>
      </w:r>
    </w:p>
    <w:p w14:paraId="66B8754F" w14:textId="3E314EDD" w:rsidR="0048403F" w:rsidRDefault="0048403F" w:rsidP="00487DBF">
      <w:pPr>
        <w:numPr>
          <w:ilvl w:val="0"/>
          <w:numId w:val="3"/>
        </w:numPr>
        <w:tabs>
          <w:tab w:val="clear" w:pos="1080"/>
          <w:tab w:val="left" w:pos="360"/>
          <w:tab w:val="num" w:pos="720"/>
        </w:tabs>
        <w:spacing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Observe</w:t>
      </w:r>
      <w:r w:rsidR="00BF6D10">
        <w:rPr>
          <w:rFonts w:ascii="Times New Roman" w:eastAsia="Times New Roman" w:hAnsi="Times New Roman" w:cs="Times New Roman"/>
          <w:sz w:val="24"/>
          <w:szCs w:val="24"/>
        </w:rPr>
        <w:t xml:space="preserve"> whether</w:t>
      </w:r>
      <w:r>
        <w:rPr>
          <w:rFonts w:ascii="Times New Roman" w:eastAsia="Times New Roman" w:hAnsi="Times New Roman" w:cs="Times New Roman"/>
          <w:sz w:val="24"/>
          <w:szCs w:val="24"/>
        </w:rPr>
        <w:t xml:space="preserve"> the contract was bid in accordance with the Louisiana Public Bid Law</w:t>
      </w:r>
      <w:r w:rsidR="00FF1AE2">
        <w:rPr>
          <w:rStyle w:val="FootnoteReference"/>
          <w:rFonts w:ascii="Times New Roman" w:eastAsia="Times New Roman" w:hAnsi="Times New Roman" w:cs="Times New Roman"/>
          <w:sz w:val="24"/>
          <w:szCs w:val="24"/>
        </w:rPr>
        <w:footnoteReference w:id="17"/>
      </w:r>
      <w:r>
        <w:rPr>
          <w:rFonts w:ascii="Times New Roman" w:eastAsia="Times New Roman" w:hAnsi="Times New Roman" w:cs="Times New Roman"/>
          <w:sz w:val="24"/>
          <w:szCs w:val="24"/>
        </w:rPr>
        <w:t xml:space="preserve"> (e.g., solicited quotes or bids, advertised), if </w:t>
      </w:r>
      <w:r w:rsidR="00FF1AE2">
        <w:rPr>
          <w:rFonts w:ascii="Times New Roman" w:eastAsia="Times New Roman" w:hAnsi="Times New Roman" w:cs="Times New Roman"/>
          <w:sz w:val="24"/>
          <w:szCs w:val="24"/>
        </w:rPr>
        <w:t>required</w:t>
      </w:r>
      <w:r w:rsidR="0064082D">
        <w:rPr>
          <w:rFonts w:ascii="Times New Roman" w:eastAsia="Times New Roman" w:hAnsi="Times New Roman" w:cs="Times New Roman"/>
          <w:sz w:val="24"/>
          <w:szCs w:val="24"/>
        </w:rPr>
        <w:t xml:space="preserve"> by law</w:t>
      </w:r>
      <w:r>
        <w:rPr>
          <w:rFonts w:ascii="Times New Roman" w:eastAsia="Times New Roman" w:hAnsi="Times New Roman" w:cs="Times New Roman"/>
          <w:sz w:val="24"/>
          <w:szCs w:val="24"/>
        </w:rPr>
        <w:t>.</w:t>
      </w:r>
    </w:p>
    <w:p w14:paraId="4D79458B" w14:textId="3A5150C4" w:rsidR="007C54E7" w:rsidRDefault="007C54E7" w:rsidP="00487DBF">
      <w:pPr>
        <w:numPr>
          <w:ilvl w:val="0"/>
          <w:numId w:val="3"/>
        </w:numPr>
        <w:tabs>
          <w:tab w:val="clear" w:pos="1080"/>
          <w:tab w:val="left" w:pos="360"/>
          <w:tab w:val="num" w:pos="720"/>
        </w:tabs>
        <w:spacing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Observe</w:t>
      </w:r>
      <w:r w:rsidR="00BF6D10">
        <w:rPr>
          <w:rFonts w:ascii="Times New Roman" w:eastAsia="Times New Roman" w:hAnsi="Times New Roman" w:cs="Times New Roman"/>
          <w:sz w:val="24"/>
          <w:szCs w:val="24"/>
        </w:rPr>
        <w:t xml:space="preserve"> whether</w:t>
      </w:r>
      <w:r>
        <w:rPr>
          <w:rFonts w:ascii="Times New Roman" w:eastAsia="Times New Roman" w:hAnsi="Times New Roman" w:cs="Times New Roman"/>
          <w:sz w:val="24"/>
          <w:szCs w:val="24"/>
        </w:rPr>
        <w:t xml:space="preserve"> the contract was approved by the governing body/board, </w:t>
      </w:r>
      <w:r w:rsidRPr="00FF1AE2">
        <w:rPr>
          <w:rFonts w:ascii="Times New Roman" w:eastAsia="Times New Roman" w:hAnsi="Times New Roman" w:cs="Times New Roman"/>
          <w:sz w:val="24"/>
          <w:szCs w:val="24"/>
        </w:rPr>
        <w:t>if required by policy or law</w:t>
      </w:r>
      <w:r>
        <w:rPr>
          <w:rFonts w:ascii="Times New Roman" w:eastAsia="Times New Roman" w:hAnsi="Times New Roman" w:cs="Times New Roman"/>
          <w:sz w:val="24"/>
          <w:szCs w:val="24"/>
        </w:rPr>
        <w:t xml:space="preserve"> (e.g.</w:t>
      </w:r>
      <w:r w:rsidR="003F16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Lawrason Act, Home Rule Charter).</w:t>
      </w:r>
    </w:p>
    <w:p w14:paraId="406DCA46" w14:textId="54995F20" w:rsidR="0048403F" w:rsidRPr="00C36FD3" w:rsidRDefault="00B516ED" w:rsidP="00487DBF">
      <w:pPr>
        <w:numPr>
          <w:ilvl w:val="0"/>
          <w:numId w:val="3"/>
        </w:numPr>
        <w:tabs>
          <w:tab w:val="clear" w:pos="1080"/>
          <w:tab w:val="left" w:pos="360"/>
          <w:tab w:val="num" w:pos="720"/>
        </w:tabs>
        <w:spacing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contract was </w:t>
      </w:r>
      <w:r w:rsidR="0048403F">
        <w:rPr>
          <w:rFonts w:ascii="Times New Roman" w:eastAsia="Times New Roman" w:hAnsi="Times New Roman" w:cs="Times New Roman"/>
          <w:sz w:val="24"/>
          <w:szCs w:val="24"/>
        </w:rPr>
        <w:t>amended (e.</w:t>
      </w:r>
      <w:r w:rsidR="0048403F" w:rsidRPr="00C36FD3">
        <w:rPr>
          <w:rFonts w:ascii="Times New Roman" w:eastAsia="Times New Roman" w:hAnsi="Times New Roman" w:cs="Times New Roman"/>
          <w:sz w:val="24"/>
          <w:szCs w:val="24"/>
        </w:rPr>
        <w:t>g.</w:t>
      </w:r>
      <w:r w:rsidR="003F1620">
        <w:rPr>
          <w:rFonts w:ascii="Times New Roman" w:eastAsia="Times New Roman" w:hAnsi="Times New Roman" w:cs="Times New Roman"/>
          <w:sz w:val="24"/>
          <w:szCs w:val="24"/>
        </w:rPr>
        <w:t>,</w:t>
      </w:r>
      <w:r w:rsidR="0048403F" w:rsidRPr="00C36FD3">
        <w:rPr>
          <w:rFonts w:ascii="Times New Roman" w:eastAsia="Times New Roman" w:hAnsi="Times New Roman" w:cs="Times New Roman"/>
          <w:sz w:val="24"/>
          <w:szCs w:val="24"/>
        </w:rPr>
        <w:t xml:space="preserve"> change order)</w:t>
      </w:r>
      <w:r w:rsidRPr="00C36FD3">
        <w:rPr>
          <w:rFonts w:ascii="Times New Roman" w:eastAsia="Times New Roman" w:hAnsi="Times New Roman" w:cs="Times New Roman"/>
          <w:sz w:val="24"/>
          <w:szCs w:val="24"/>
        </w:rPr>
        <w:t xml:space="preserve">, </w:t>
      </w:r>
      <w:r w:rsidR="0048403F" w:rsidRPr="00C36FD3">
        <w:rPr>
          <w:rFonts w:ascii="Times New Roman" w:eastAsia="Times New Roman" w:hAnsi="Times New Roman" w:cs="Times New Roman"/>
          <w:sz w:val="24"/>
          <w:szCs w:val="24"/>
        </w:rPr>
        <w:t>observe the original contract terms provided for such an amendment</w:t>
      </w:r>
      <w:r w:rsidR="00425BD7" w:rsidRPr="00C36FD3">
        <w:rPr>
          <w:rFonts w:ascii="Times New Roman" w:eastAsia="Times New Roman" w:hAnsi="Times New Roman" w:cs="Times New Roman"/>
          <w:sz w:val="24"/>
          <w:szCs w:val="24"/>
        </w:rPr>
        <w:t xml:space="preserve"> </w:t>
      </w:r>
      <w:r w:rsidR="00425BD7" w:rsidRPr="0096411C">
        <w:rPr>
          <w:rFonts w:ascii="Times New Roman" w:eastAsia="Times New Roman" w:hAnsi="Times New Roman" w:cs="Times New Roman"/>
          <w:sz w:val="24"/>
          <w:szCs w:val="24"/>
        </w:rPr>
        <w:t>and that amendments were made in compliance with the contract terms (e.g.</w:t>
      </w:r>
      <w:r w:rsidR="003F1620">
        <w:rPr>
          <w:rFonts w:ascii="Times New Roman" w:eastAsia="Times New Roman" w:hAnsi="Times New Roman" w:cs="Times New Roman"/>
          <w:sz w:val="24"/>
          <w:szCs w:val="24"/>
        </w:rPr>
        <w:t>,</w:t>
      </w:r>
      <w:r w:rsidR="00425BD7" w:rsidRPr="0096411C">
        <w:rPr>
          <w:rFonts w:ascii="Times New Roman" w:eastAsia="Times New Roman" w:hAnsi="Times New Roman" w:cs="Times New Roman"/>
          <w:sz w:val="24"/>
          <w:szCs w:val="24"/>
        </w:rPr>
        <w:t xml:space="preserve"> if approval is required for any amendment</w:t>
      </w:r>
      <w:r w:rsidR="003F1620">
        <w:rPr>
          <w:rFonts w:ascii="Times New Roman" w:eastAsia="Times New Roman" w:hAnsi="Times New Roman" w:cs="Times New Roman"/>
          <w:sz w:val="24"/>
          <w:szCs w:val="24"/>
        </w:rPr>
        <w:t>,</w:t>
      </w:r>
      <w:r w:rsidR="00425BD7" w:rsidRPr="0096411C">
        <w:rPr>
          <w:rFonts w:ascii="Times New Roman" w:eastAsia="Times New Roman" w:hAnsi="Times New Roman" w:cs="Times New Roman"/>
          <w:sz w:val="24"/>
          <w:szCs w:val="24"/>
        </w:rPr>
        <w:t xml:space="preserve"> was approval documented).</w:t>
      </w:r>
    </w:p>
    <w:p w14:paraId="4EF5C508" w14:textId="124B2F1A" w:rsidR="00823086" w:rsidRPr="009C283F" w:rsidRDefault="0048403F" w:rsidP="006B36DB">
      <w:pPr>
        <w:numPr>
          <w:ilvl w:val="0"/>
          <w:numId w:val="3"/>
        </w:numPr>
        <w:tabs>
          <w:tab w:val="clear" w:pos="1080"/>
          <w:tab w:val="left" w:pos="360"/>
          <w:tab w:val="num" w:pos="720"/>
        </w:tabs>
        <w:spacing w:before="120" w:after="0" w:line="240" w:lineRule="auto"/>
        <w:ind w:left="720"/>
        <w:jc w:val="both"/>
        <w:rPr>
          <w:rFonts w:ascii="Times New Roman" w:eastAsia="Times New Roman" w:hAnsi="Times New Roman" w:cs="Times New Roman"/>
          <w:sz w:val="24"/>
          <w:szCs w:val="24"/>
        </w:rPr>
      </w:pPr>
      <w:r w:rsidRPr="00C36FD3">
        <w:rPr>
          <w:rFonts w:ascii="Times New Roman" w:eastAsia="Times New Roman" w:hAnsi="Times New Roman" w:cs="Times New Roman"/>
          <w:sz w:val="24"/>
          <w:szCs w:val="24"/>
        </w:rPr>
        <w:t>Randomly s</w:t>
      </w:r>
      <w:r w:rsidR="00823086" w:rsidRPr="00C36FD3">
        <w:rPr>
          <w:rFonts w:ascii="Times New Roman" w:eastAsia="Times New Roman" w:hAnsi="Times New Roman" w:cs="Times New Roman"/>
          <w:sz w:val="24"/>
          <w:szCs w:val="24"/>
        </w:rPr>
        <w:t xml:space="preserve">elect </w:t>
      </w:r>
      <w:r w:rsidRPr="00C36FD3">
        <w:rPr>
          <w:rFonts w:ascii="Times New Roman" w:eastAsia="Times New Roman" w:hAnsi="Times New Roman" w:cs="Times New Roman"/>
          <w:sz w:val="24"/>
          <w:szCs w:val="24"/>
        </w:rPr>
        <w:t>one</w:t>
      </w:r>
      <w:r w:rsidR="00823086" w:rsidRPr="00C36FD3">
        <w:rPr>
          <w:rFonts w:ascii="Times New Roman" w:eastAsia="Times New Roman" w:hAnsi="Times New Roman" w:cs="Times New Roman"/>
          <w:sz w:val="24"/>
          <w:szCs w:val="24"/>
        </w:rPr>
        <w:t xml:space="preserve"> payment</w:t>
      </w:r>
      <w:r w:rsidRPr="00C36FD3">
        <w:rPr>
          <w:rFonts w:ascii="Times New Roman" w:eastAsia="Times New Roman" w:hAnsi="Times New Roman" w:cs="Times New Roman"/>
          <w:sz w:val="24"/>
          <w:szCs w:val="24"/>
        </w:rPr>
        <w:t xml:space="preserve"> from the fiscal period</w:t>
      </w:r>
      <w:r w:rsidR="00823086" w:rsidRPr="00C36FD3">
        <w:rPr>
          <w:rFonts w:ascii="Times New Roman" w:eastAsia="Times New Roman" w:hAnsi="Times New Roman" w:cs="Times New Roman"/>
          <w:sz w:val="24"/>
          <w:szCs w:val="24"/>
        </w:rPr>
        <w:t xml:space="preserve"> f</w:t>
      </w:r>
      <w:r w:rsidRPr="00C36FD3">
        <w:rPr>
          <w:rFonts w:ascii="Times New Roman" w:eastAsia="Times New Roman" w:hAnsi="Times New Roman" w:cs="Times New Roman"/>
          <w:sz w:val="24"/>
          <w:szCs w:val="24"/>
        </w:rPr>
        <w:t>or</w:t>
      </w:r>
      <w:r w:rsidR="00823086" w:rsidRPr="00C36FD3">
        <w:rPr>
          <w:rFonts w:ascii="Times New Roman" w:eastAsia="Times New Roman" w:hAnsi="Times New Roman" w:cs="Times New Roman"/>
          <w:sz w:val="24"/>
          <w:szCs w:val="24"/>
        </w:rPr>
        <w:t xml:space="preserve"> each of the </w:t>
      </w:r>
      <w:r w:rsidR="002C6A0C" w:rsidRPr="00C36FD3">
        <w:rPr>
          <w:rFonts w:ascii="Times New Roman" w:eastAsia="Times New Roman" w:hAnsi="Times New Roman" w:cs="Times New Roman"/>
          <w:sz w:val="24"/>
          <w:szCs w:val="24"/>
        </w:rPr>
        <w:t>5</w:t>
      </w:r>
      <w:r w:rsidR="00823086" w:rsidRPr="00C36FD3">
        <w:rPr>
          <w:rFonts w:ascii="Times New Roman" w:eastAsia="Times New Roman" w:hAnsi="Times New Roman" w:cs="Times New Roman"/>
          <w:sz w:val="24"/>
          <w:szCs w:val="24"/>
        </w:rPr>
        <w:t xml:space="preserve"> contracts</w:t>
      </w:r>
      <w:r w:rsidR="001C6B55" w:rsidRPr="00C36FD3">
        <w:rPr>
          <w:rFonts w:ascii="Times New Roman" w:eastAsia="Times New Roman" w:hAnsi="Times New Roman" w:cs="Times New Roman"/>
          <w:sz w:val="24"/>
          <w:szCs w:val="24"/>
        </w:rPr>
        <w:t>,</w:t>
      </w:r>
      <w:r w:rsidR="001C6B55">
        <w:rPr>
          <w:rFonts w:ascii="Times New Roman" w:eastAsia="Times New Roman" w:hAnsi="Times New Roman" w:cs="Times New Roman"/>
          <w:sz w:val="24"/>
          <w:szCs w:val="24"/>
        </w:rPr>
        <w:t xml:space="preserve"> obtain the supporting invoice, </w:t>
      </w:r>
      <w:r w:rsidR="00FF1AE2">
        <w:rPr>
          <w:rFonts w:ascii="Times New Roman" w:eastAsia="Times New Roman" w:hAnsi="Times New Roman" w:cs="Times New Roman"/>
          <w:sz w:val="24"/>
          <w:szCs w:val="24"/>
        </w:rPr>
        <w:t>agree</w:t>
      </w:r>
      <w:r w:rsidR="001C6B55">
        <w:rPr>
          <w:rFonts w:ascii="Times New Roman" w:eastAsia="Times New Roman" w:hAnsi="Times New Roman" w:cs="Times New Roman"/>
          <w:sz w:val="24"/>
          <w:szCs w:val="24"/>
        </w:rPr>
        <w:t xml:space="preserve"> the invoice to the contract terms, and </w:t>
      </w:r>
      <w:r>
        <w:rPr>
          <w:rFonts w:ascii="Times New Roman" w:eastAsia="Times New Roman" w:hAnsi="Times New Roman" w:cs="Times New Roman"/>
          <w:sz w:val="24"/>
          <w:szCs w:val="24"/>
        </w:rPr>
        <w:t>observe</w:t>
      </w:r>
      <w:r w:rsidR="001C6B55">
        <w:rPr>
          <w:rFonts w:ascii="Times New Roman" w:eastAsia="Times New Roman" w:hAnsi="Times New Roman" w:cs="Times New Roman"/>
          <w:sz w:val="24"/>
          <w:szCs w:val="24"/>
        </w:rPr>
        <w:t xml:space="preserve"> </w:t>
      </w:r>
      <w:r w:rsidR="00B516ED">
        <w:rPr>
          <w:rFonts w:ascii="Times New Roman" w:eastAsia="Times New Roman" w:hAnsi="Times New Roman" w:cs="Times New Roman"/>
          <w:sz w:val="24"/>
          <w:szCs w:val="24"/>
        </w:rPr>
        <w:t xml:space="preserve">the </w:t>
      </w:r>
      <w:r w:rsidR="001C6B55">
        <w:rPr>
          <w:rFonts w:ascii="Times New Roman" w:eastAsia="Times New Roman" w:hAnsi="Times New Roman" w:cs="Times New Roman"/>
          <w:sz w:val="24"/>
          <w:szCs w:val="24"/>
        </w:rPr>
        <w:t>invoice and related</w:t>
      </w:r>
      <w:r w:rsidR="00823086" w:rsidRPr="009C283F">
        <w:rPr>
          <w:rFonts w:ascii="Times New Roman" w:eastAsia="Times New Roman" w:hAnsi="Times New Roman" w:cs="Times New Roman"/>
          <w:sz w:val="24"/>
          <w:szCs w:val="24"/>
        </w:rPr>
        <w:t xml:space="preserve"> payment </w:t>
      </w:r>
      <w:r w:rsidR="00FF1AE2">
        <w:rPr>
          <w:rFonts w:ascii="Times New Roman" w:eastAsia="Times New Roman" w:hAnsi="Times New Roman" w:cs="Times New Roman"/>
          <w:sz w:val="24"/>
          <w:szCs w:val="24"/>
        </w:rPr>
        <w:t>agreed to</w:t>
      </w:r>
      <w:r w:rsidR="00823086" w:rsidRPr="009C283F">
        <w:rPr>
          <w:rFonts w:ascii="Times New Roman" w:eastAsia="Times New Roman" w:hAnsi="Times New Roman" w:cs="Times New Roman"/>
          <w:sz w:val="24"/>
          <w:szCs w:val="24"/>
        </w:rPr>
        <w:t xml:space="preserve"> the terms and conditions of the contract.</w:t>
      </w:r>
    </w:p>
    <w:p w14:paraId="4594A96F" w14:textId="77777777" w:rsidR="007D679A" w:rsidRPr="009C283F" w:rsidRDefault="007D679A" w:rsidP="00823086">
      <w:pPr>
        <w:tabs>
          <w:tab w:val="left" w:pos="360"/>
        </w:tabs>
        <w:spacing w:after="0" w:line="240" w:lineRule="auto"/>
        <w:rPr>
          <w:rFonts w:ascii="Times New Roman" w:eastAsia="Times New Roman" w:hAnsi="Times New Roman" w:cs="Times New Roman"/>
          <w:sz w:val="24"/>
          <w:szCs w:val="24"/>
        </w:rPr>
      </w:pPr>
    </w:p>
    <w:p w14:paraId="7334E5E2" w14:textId="77777777" w:rsidR="00823086" w:rsidRPr="009C283F" w:rsidRDefault="00823086" w:rsidP="00823086">
      <w:pPr>
        <w:pBdr>
          <w:bottom w:val="single" w:sz="4" w:space="1" w:color="auto"/>
        </w:pBdr>
        <w:spacing w:after="0" w:line="240" w:lineRule="auto"/>
        <w:jc w:val="both"/>
        <w:rPr>
          <w:rFonts w:ascii="Times New Roman" w:eastAsia="Times New Roman" w:hAnsi="Times New Roman" w:cs="Times New Roman"/>
          <w:b/>
          <w:i/>
          <w:color w:val="000000"/>
          <w:sz w:val="24"/>
          <w:szCs w:val="24"/>
        </w:rPr>
      </w:pPr>
      <w:r w:rsidRPr="00123E29">
        <w:rPr>
          <w:rFonts w:ascii="Times New Roman" w:eastAsia="Times New Roman" w:hAnsi="Times New Roman" w:cs="Times New Roman"/>
          <w:b/>
          <w:i/>
          <w:color w:val="000000"/>
          <w:sz w:val="24"/>
          <w:szCs w:val="24"/>
        </w:rPr>
        <w:t>Payroll and Personnel</w:t>
      </w:r>
    </w:p>
    <w:p w14:paraId="4F63F1C8" w14:textId="77777777" w:rsidR="00823086" w:rsidRPr="009C283F" w:rsidRDefault="00823086" w:rsidP="00823086">
      <w:pPr>
        <w:spacing w:after="0" w:line="240" w:lineRule="auto"/>
        <w:jc w:val="both"/>
        <w:rPr>
          <w:rFonts w:ascii="Times New Roman" w:eastAsia="Times New Roman" w:hAnsi="Times New Roman" w:cs="Times New Roman"/>
          <w:sz w:val="24"/>
          <w:szCs w:val="24"/>
        </w:rPr>
      </w:pPr>
    </w:p>
    <w:p w14:paraId="483F6809" w14:textId="6C3C8B93" w:rsidR="00823086" w:rsidRPr="00A54BEA" w:rsidRDefault="00823086" w:rsidP="009B2EAD">
      <w:pPr>
        <w:numPr>
          <w:ilvl w:val="0"/>
          <w:numId w:val="10"/>
        </w:numPr>
        <w:spacing w:after="120" w:line="240" w:lineRule="auto"/>
        <w:jc w:val="both"/>
        <w:rPr>
          <w:rFonts w:ascii="Times New Roman" w:eastAsia="Calibri" w:hAnsi="Times New Roman" w:cs="Times New Roman"/>
          <w:sz w:val="24"/>
          <w:szCs w:val="24"/>
        </w:rPr>
      </w:pPr>
      <w:r w:rsidRPr="00A54BEA">
        <w:rPr>
          <w:rFonts w:ascii="Times New Roman" w:eastAsia="Calibri" w:hAnsi="Times New Roman" w:cs="Times New Roman"/>
          <w:sz w:val="24"/>
          <w:szCs w:val="24"/>
        </w:rPr>
        <w:t>Obtain a listing of employ</w:t>
      </w:r>
      <w:r w:rsidR="00EC57E9" w:rsidRPr="00A54BEA">
        <w:rPr>
          <w:rFonts w:ascii="Times New Roman" w:eastAsia="Calibri" w:hAnsi="Times New Roman" w:cs="Times New Roman"/>
          <w:sz w:val="24"/>
          <w:szCs w:val="24"/>
        </w:rPr>
        <w:t>ees</w:t>
      </w:r>
      <w:r w:rsidR="00425BD7">
        <w:rPr>
          <w:rFonts w:ascii="Times New Roman" w:eastAsia="Calibri" w:hAnsi="Times New Roman" w:cs="Times New Roman"/>
          <w:sz w:val="24"/>
          <w:szCs w:val="24"/>
        </w:rPr>
        <w:t xml:space="preserve"> and </w:t>
      </w:r>
      <w:r w:rsidR="001518BB" w:rsidRPr="00A54BEA">
        <w:rPr>
          <w:rFonts w:ascii="Times New Roman" w:eastAsia="Calibri" w:hAnsi="Times New Roman" w:cs="Times New Roman"/>
          <w:sz w:val="24"/>
          <w:szCs w:val="24"/>
        </w:rPr>
        <w:t>officials</w:t>
      </w:r>
      <w:r w:rsidR="002F2339">
        <w:rPr>
          <w:rStyle w:val="FootnoteReference"/>
          <w:rFonts w:ascii="Times New Roman" w:eastAsia="Calibri" w:hAnsi="Times New Roman" w:cs="Times New Roman"/>
          <w:sz w:val="24"/>
          <w:szCs w:val="24"/>
        </w:rPr>
        <w:footnoteReference w:id="18"/>
      </w:r>
      <w:r w:rsidR="00EC57E9" w:rsidRPr="00A54BEA">
        <w:rPr>
          <w:rFonts w:ascii="Times New Roman" w:eastAsia="Calibri" w:hAnsi="Times New Roman" w:cs="Times New Roman"/>
          <w:sz w:val="24"/>
          <w:szCs w:val="24"/>
        </w:rPr>
        <w:t xml:space="preserve"> </w:t>
      </w:r>
      <w:r w:rsidR="00A577A3" w:rsidRPr="00A54BEA">
        <w:rPr>
          <w:rFonts w:ascii="Times New Roman" w:eastAsia="Calibri" w:hAnsi="Times New Roman" w:cs="Times New Roman"/>
          <w:sz w:val="24"/>
          <w:szCs w:val="24"/>
        </w:rPr>
        <w:t xml:space="preserve">employed during the fiscal period </w:t>
      </w:r>
      <w:r w:rsidR="00421BF0" w:rsidRPr="00A54BEA">
        <w:rPr>
          <w:rFonts w:ascii="Times New Roman" w:eastAsia="Calibri" w:hAnsi="Times New Roman" w:cs="Times New Roman"/>
          <w:sz w:val="24"/>
          <w:szCs w:val="24"/>
        </w:rPr>
        <w:t xml:space="preserve">and </w:t>
      </w:r>
      <w:r w:rsidR="00EC57E9" w:rsidRPr="00A54BEA">
        <w:rPr>
          <w:rFonts w:ascii="Times New Roman" w:eastAsia="Calibri" w:hAnsi="Times New Roman" w:cs="Times New Roman"/>
          <w:sz w:val="24"/>
          <w:szCs w:val="24"/>
        </w:rPr>
        <w:t>management’s representation that the listing is complete</w:t>
      </w:r>
      <w:r w:rsidRPr="00A54BEA">
        <w:rPr>
          <w:rFonts w:ascii="Times New Roman" w:eastAsia="Calibri" w:hAnsi="Times New Roman" w:cs="Times New Roman"/>
          <w:sz w:val="24"/>
          <w:szCs w:val="24"/>
        </w:rPr>
        <w:t xml:space="preserve">.  </w:t>
      </w:r>
      <w:r w:rsidR="00B1429B" w:rsidRPr="00A54BEA">
        <w:rPr>
          <w:rFonts w:ascii="Times New Roman" w:eastAsia="Calibri" w:hAnsi="Times New Roman" w:cs="Times New Roman"/>
          <w:sz w:val="24"/>
          <w:szCs w:val="24"/>
        </w:rPr>
        <w:t xml:space="preserve">Randomly select </w:t>
      </w:r>
      <w:r w:rsidR="002C6A0C">
        <w:rPr>
          <w:rFonts w:ascii="Times New Roman" w:eastAsia="Calibri" w:hAnsi="Times New Roman" w:cs="Times New Roman"/>
          <w:sz w:val="24"/>
          <w:szCs w:val="24"/>
        </w:rPr>
        <w:t>5</w:t>
      </w:r>
      <w:r w:rsidRPr="00A54BEA">
        <w:rPr>
          <w:rFonts w:ascii="Times New Roman" w:eastAsia="Calibri" w:hAnsi="Times New Roman" w:cs="Times New Roman"/>
          <w:sz w:val="24"/>
          <w:szCs w:val="24"/>
        </w:rPr>
        <w:t xml:space="preserve"> employees</w:t>
      </w:r>
      <w:r w:rsidR="00C36FD3">
        <w:rPr>
          <w:rFonts w:ascii="Times New Roman" w:eastAsia="Calibri" w:hAnsi="Times New Roman" w:cs="Times New Roman"/>
          <w:sz w:val="24"/>
          <w:szCs w:val="24"/>
        </w:rPr>
        <w:t xml:space="preserve"> or </w:t>
      </w:r>
      <w:r w:rsidR="00492215" w:rsidRPr="00A54BEA">
        <w:rPr>
          <w:rFonts w:ascii="Times New Roman" w:eastAsia="Calibri" w:hAnsi="Times New Roman" w:cs="Times New Roman"/>
          <w:sz w:val="24"/>
          <w:szCs w:val="24"/>
        </w:rPr>
        <w:t>officials</w:t>
      </w:r>
      <w:r w:rsidR="001518BB" w:rsidRPr="00A54BEA">
        <w:rPr>
          <w:rFonts w:ascii="Times New Roman" w:eastAsia="Calibri" w:hAnsi="Times New Roman" w:cs="Times New Roman"/>
          <w:sz w:val="24"/>
          <w:szCs w:val="24"/>
        </w:rPr>
        <w:t xml:space="preserve">, </w:t>
      </w:r>
      <w:r w:rsidR="00A6006E" w:rsidRPr="00A54BEA">
        <w:rPr>
          <w:rFonts w:ascii="Times New Roman" w:eastAsia="Calibri" w:hAnsi="Times New Roman" w:cs="Times New Roman"/>
          <w:sz w:val="24"/>
          <w:szCs w:val="24"/>
        </w:rPr>
        <w:t xml:space="preserve">obtain related </w:t>
      </w:r>
      <w:r w:rsidR="00DC6DD4" w:rsidRPr="00A54BEA">
        <w:rPr>
          <w:rFonts w:ascii="Times New Roman" w:eastAsia="Calibri" w:hAnsi="Times New Roman" w:cs="Times New Roman"/>
          <w:sz w:val="24"/>
          <w:szCs w:val="24"/>
        </w:rPr>
        <w:t xml:space="preserve">paid </w:t>
      </w:r>
      <w:r w:rsidR="00A6006E" w:rsidRPr="00A54BEA">
        <w:rPr>
          <w:rFonts w:ascii="Times New Roman" w:eastAsia="Calibri" w:hAnsi="Times New Roman" w:cs="Times New Roman"/>
          <w:sz w:val="24"/>
          <w:szCs w:val="24"/>
        </w:rPr>
        <w:t>sal</w:t>
      </w:r>
      <w:r w:rsidR="00123E29" w:rsidRPr="00A54BEA">
        <w:rPr>
          <w:rFonts w:ascii="Times New Roman" w:eastAsia="Calibri" w:hAnsi="Times New Roman" w:cs="Times New Roman"/>
          <w:sz w:val="24"/>
          <w:szCs w:val="24"/>
        </w:rPr>
        <w:t>aries and personnel files, and agree paid salaries to authorized</w:t>
      </w:r>
      <w:r w:rsidR="00A6006E" w:rsidRPr="00A54BEA">
        <w:rPr>
          <w:rFonts w:ascii="Times New Roman" w:eastAsia="Calibri" w:hAnsi="Times New Roman" w:cs="Times New Roman"/>
          <w:sz w:val="24"/>
          <w:szCs w:val="24"/>
        </w:rPr>
        <w:t xml:space="preserve"> salaries</w:t>
      </w:r>
      <w:r w:rsidR="00123E29" w:rsidRPr="00A54BEA">
        <w:rPr>
          <w:rFonts w:ascii="Times New Roman" w:eastAsia="Calibri" w:hAnsi="Times New Roman" w:cs="Times New Roman"/>
          <w:sz w:val="24"/>
          <w:szCs w:val="24"/>
        </w:rPr>
        <w:t>/pay rates</w:t>
      </w:r>
      <w:r w:rsidR="00A6006E" w:rsidRPr="00A54BEA">
        <w:rPr>
          <w:rFonts w:ascii="Times New Roman" w:eastAsia="Calibri" w:hAnsi="Times New Roman" w:cs="Times New Roman"/>
          <w:sz w:val="24"/>
          <w:szCs w:val="24"/>
        </w:rPr>
        <w:t xml:space="preserve"> in the personnel files.</w:t>
      </w:r>
    </w:p>
    <w:p w14:paraId="43870E11" w14:textId="69C38986" w:rsidR="001518BB" w:rsidRPr="00A54BEA" w:rsidRDefault="001518BB" w:rsidP="009B2EAD">
      <w:pPr>
        <w:numPr>
          <w:ilvl w:val="0"/>
          <w:numId w:val="10"/>
        </w:numPr>
        <w:spacing w:after="120" w:line="240" w:lineRule="auto"/>
        <w:jc w:val="both"/>
        <w:rPr>
          <w:rFonts w:ascii="Times New Roman" w:eastAsia="Calibri" w:hAnsi="Times New Roman" w:cs="Times New Roman"/>
          <w:sz w:val="24"/>
          <w:szCs w:val="24"/>
        </w:rPr>
      </w:pPr>
      <w:r w:rsidRPr="00A54BEA">
        <w:rPr>
          <w:rFonts w:ascii="Times New Roman" w:eastAsia="Calibri" w:hAnsi="Times New Roman" w:cs="Times New Roman"/>
          <w:sz w:val="24"/>
          <w:szCs w:val="24"/>
        </w:rPr>
        <w:lastRenderedPageBreak/>
        <w:t>Randomly select one pay peri</w:t>
      </w:r>
      <w:r w:rsidR="00A6006E" w:rsidRPr="00A54BEA">
        <w:rPr>
          <w:rFonts w:ascii="Times New Roman" w:eastAsia="Calibri" w:hAnsi="Times New Roman" w:cs="Times New Roman"/>
          <w:sz w:val="24"/>
          <w:szCs w:val="24"/>
        </w:rPr>
        <w:t xml:space="preserve">od during the fiscal period.  For the </w:t>
      </w:r>
      <w:r w:rsidR="002C6A0C">
        <w:rPr>
          <w:rFonts w:ascii="Times New Roman" w:eastAsia="Calibri" w:hAnsi="Times New Roman" w:cs="Times New Roman"/>
          <w:sz w:val="24"/>
          <w:szCs w:val="24"/>
        </w:rPr>
        <w:t>5</w:t>
      </w:r>
      <w:r w:rsidR="00A6006E" w:rsidRPr="00A54BEA">
        <w:rPr>
          <w:rFonts w:ascii="Times New Roman" w:eastAsia="Calibri" w:hAnsi="Times New Roman" w:cs="Times New Roman"/>
          <w:sz w:val="24"/>
          <w:szCs w:val="24"/>
        </w:rPr>
        <w:t xml:space="preserve"> employees</w:t>
      </w:r>
      <w:r w:rsidR="00C36FD3">
        <w:rPr>
          <w:rFonts w:ascii="Times New Roman" w:eastAsia="Calibri" w:hAnsi="Times New Roman" w:cs="Times New Roman"/>
          <w:sz w:val="24"/>
          <w:szCs w:val="24"/>
        </w:rPr>
        <w:t xml:space="preserve"> or </w:t>
      </w:r>
      <w:r w:rsidR="00A6006E" w:rsidRPr="00A54BEA">
        <w:rPr>
          <w:rFonts w:ascii="Times New Roman" w:eastAsia="Calibri" w:hAnsi="Times New Roman" w:cs="Times New Roman"/>
          <w:sz w:val="24"/>
          <w:szCs w:val="24"/>
        </w:rPr>
        <w:t>officials selected under #</w:t>
      </w:r>
      <w:r w:rsidR="00632DF3">
        <w:rPr>
          <w:rFonts w:ascii="Times New Roman" w:eastAsia="Calibri" w:hAnsi="Times New Roman" w:cs="Times New Roman"/>
          <w:sz w:val="24"/>
          <w:szCs w:val="24"/>
        </w:rPr>
        <w:t>16</w:t>
      </w:r>
      <w:r w:rsidR="00A6006E" w:rsidRPr="00A54BEA">
        <w:rPr>
          <w:rFonts w:ascii="Times New Roman" w:eastAsia="Calibri" w:hAnsi="Times New Roman" w:cs="Times New Roman"/>
          <w:sz w:val="24"/>
          <w:szCs w:val="24"/>
        </w:rPr>
        <w:t xml:space="preserve"> above, obtain attendance records and leave documentation for the pay period, and:</w:t>
      </w:r>
    </w:p>
    <w:p w14:paraId="2F337220" w14:textId="329D38D0" w:rsidR="00823086" w:rsidRPr="009C283F" w:rsidRDefault="00A6006E" w:rsidP="00C471F1">
      <w:pPr>
        <w:numPr>
          <w:ilvl w:val="0"/>
          <w:numId w:val="33"/>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Observe all</w:t>
      </w:r>
      <w:r w:rsidR="001F2059" w:rsidRPr="001F2059">
        <w:rPr>
          <w:rFonts w:ascii="Times New Roman" w:eastAsia="Times New Roman" w:hAnsi="Times New Roman" w:cs="Times New Roman"/>
          <w:sz w:val="24"/>
          <w:szCs w:val="24"/>
        </w:rPr>
        <w:t xml:space="preserve"> selected employees</w:t>
      </w:r>
      <w:r w:rsidR="00C36FD3">
        <w:rPr>
          <w:rFonts w:ascii="Times New Roman" w:eastAsia="Times New Roman" w:hAnsi="Times New Roman" w:cs="Times New Roman"/>
          <w:sz w:val="24"/>
          <w:szCs w:val="24"/>
        </w:rPr>
        <w:t xml:space="preserve"> or </w:t>
      </w:r>
      <w:r w:rsidR="00492215">
        <w:rPr>
          <w:rFonts w:ascii="Times New Roman" w:eastAsia="Times New Roman" w:hAnsi="Times New Roman" w:cs="Times New Roman"/>
          <w:sz w:val="24"/>
          <w:szCs w:val="24"/>
        </w:rPr>
        <w:t>officials</w:t>
      </w:r>
      <w:r w:rsidR="00653098">
        <w:rPr>
          <w:rStyle w:val="FootnoteReference"/>
          <w:rFonts w:ascii="Times New Roman" w:eastAsia="Times New Roman" w:hAnsi="Times New Roman" w:cs="Times New Roman"/>
          <w:sz w:val="24"/>
          <w:szCs w:val="24"/>
        </w:rPr>
        <w:footnoteReference w:id="19"/>
      </w:r>
      <w:r w:rsidR="001F2059">
        <w:rPr>
          <w:rFonts w:ascii="Times New Roman" w:eastAsia="Times New Roman" w:hAnsi="Times New Roman" w:cs="Times New Roman"/>
          <w:sz w:val="24"/>
          <w:szCs w:val="24"/>
        </w:rPr>
        <w:t xml:space="preserve"> documented</w:t>
      </w:r>
      <w:r w:rsidR="00823086" w:rsidRPr="009C283F">
        <w:rPr>
          <w:rFonts w:ascii="Times New Roman" w:eastAsia="Times New Roman" w:hAnsi="Times New Roman" w:cs="Times New Roman"/>
          <w:sz w:val="24"/>
          <w:szCs w:val="24"/>
        </w:rPr>
        <w:t xml:space="preserve"> their daily attendance and l</w:t>
      </w:r>
      <w:r w:rsidR="009C01CA">
        <w:rPr>
          <w:rFonts w:ascii="Times New Roman" w:eastAsia="Times New Roman" w:hAnsi="Times New Roman" w:cs="Times New Roman"/>
          <w:sz w:val="24"/>
          <w:szCs w:val="24"/>
        </w:rPr>
        <w:t>eave (e.g., vacation, sick, compensatory</w:t>
      </w:r>
      <w:r w:rsidR="00823086" w:rsidRPr="009C283F">
        <w:rPr>
          <w:rFonts w:ascii="Times New Roman" w:eastAsia="Times New Roman" w:hAnsi="Times New Roman" w:cs="Times New Roman"/>
          <w:sz w:val="24"/>
          <w:szCs w:val="24"/>
        </w:rPr>
        <w:t>).  (Note: Generally, official</w:t>
      </w:r>
      <w:r w:rsidR="00653098">
        <w:rPr>
          <w:rFonts w:ascii="Times New Roman" w:eastAsia="Times New Roman" w:hAnsi="Times New Roman" w:cs="Times New Roman"/>
          <w:sz w:val="24"/>
          <w:szCs w:val="24"/>
        </w:rPr>
        <w:t>s</w:t>
      </w:r>
      <w:r w:rsidR="00823086" w:rsidRPr="009C283F">
        <w:rPr>
          <w:rFonts w:ascii="Times New Roman" w:eastAsia="Times New Roman" w:hAnsi="Times New Roman" w:cs="Times New Roman"/>
          <w:sz w:val="24"/>
          <w:szCs w:val="24"/>
        </w:rPr>
        <w:t xml:space="preserve"> </w:t>
      </w:r>
      <w:r w:rsidR="00653098">
        <w:rPr>
          <w:rFonts w:ascii="Times New Roman" w:eastAsia="Times New Roman" w:hAnsi="Times New Roman" w:cs="Times New Roman"/>
          <w:sz w:val="24"/>
          <w:szCs w:val="24"/>
        </w:rPr>
        <w:t>are</w:t>
      </w:r>
      <w:r w:rsidR="00823086" w:rsidRPr="009C283F">
        <w:rPr>
          <w:rFonts w:ascii="Times New Roman" w:eastAsia="Times New Roman" w:hAnsi="Times New Roman" w:cs="Times New Roman"/>
          <w:sz w:val="24"/>
          <w:szCs w:val="24"/>
        </w:rPr>
        <w:t xml:space="preserve"> not eligible to earn leave and do not document </w:t>
      </w:r>
      <w:r w:rsidR="00653098">
        <w:rPr>
          <w:rFonts w:ascii="Times New Roman" w:eastAsia="Times New Roman" w:hAnsi="Times New Roman" w:cs="Times New Roman"/>
          <w:sz w:val="24"/>
          <w:szCs w:val="24"/>
        </w:rPr>
        <w:t>their</w:t>
      </w:r>
      <w:r w:rsidR="00823086" w:rsidRPr="009C283F">
        <w:rPr>
          <w:rFonts w:ascii="Times New Roman" w:eastAsia="Times New Roman" w:hAnsi="Times New Roman" w:cs="Times New Roman"/>
          <w:sz w:val="24"/>
          <w:szCs w:val="24"/>
        </w:rPr>
        <w:t xml:space="preserve"> attendance and leave.  However, if the official is earning leave according to </w:t>
      </w:r>
      <w:r w:rsidR="00E8572A">
        <w:rPr>
          <w:rFonts w:ascii="Times New Roman" w:eastAsia="Times New Roman" w:hAnsi="Times New Roman" w:cs="Times New Roman"/>
          <w:sz w:val="24"/>
          <w:szCs w:val="24"/>
        </w:rPr>
        <w:t xml:space="preserve">a </w:t>
      </w:r>
      <w:r w:rsidR="00823086" w:rsidRPr="009C283F">
        <w:rPr>
          <w:rFonts w:ascii="Times New Roman" w:eastAsia="Times New Roman" w:hAnsi="Times New Roman" w:cs="Times New Roman"/>
          <w:sz w:val="24"/>
          <w:szCs w:val="24"/>
        </w:rPr>
        <w:t>policy and/or contract, the official should document his/her daily attendance and leave.)</w:t>
      </w:r>
    </w:p>
    <w:p w14:paraId="63AE0832" w14:textId="5C944DC3" w:rsidR="00823086" w:rsidRPr="009C283F" w:rsidRDefault="00A6006E" w:rsidP="00C471F1">
      <w:pPr>
        <w:numPr>
          <w:ilvl w:val="0"/>
          <w:numId w:val="33"/>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w:t>
      </w:r>
      <w:r w:rsidR="00A5492D">
        <w:rPr>
          <w:rFonts w:ascii="Times New Roman" w:eastAsia="Times New Roman" w:hAnsi="Times New Roman" w:cs="Times New Roman"/>
          <w:sz w:val="24"/>
          <w:szCs w:val="24"/>
        </w:rPr>
        <w:t>e</w:t>
      </w:r>
      <w:r w:rsidR="00394FA1">
        <w:rPr>
          <w:rFonts w:ascii="Times New Roman" w:eastAsia="Times New Roman" w:hAnsi="Times New Roman" w:cs="Times New Roman"/>
          <w:sz w:val="24"/>
          <w:szCs w:val="24"/>
        </w:rPr>
        <w:t xml:space="preserve"> whether</w:t>
      </w:r>
      <w:r w:rsidR="001F2059" w:rsidRPr="001F2059">
        <w:rPr>
          <w:rFonts w:ascii="Times New Roman" w:eastAsia="Times New Roman" w:hAnsi="Times New Roman" w:cs="Times New Roman"/>
          <w:sz w:val="24"/>
          <w:szCs w:val="24"/>
        </w:rPr>
        <w:t xml:space="preserve"> </w:t>
      </w:r>
      <w:r w:rsidR="00823086" w:rsidRPr="009C283F">
        <w:rPr>
          <w:rFonts w:ascii="Times New Roman" w:eastAsia="Times New Roman" w:hAnsi="Times New Roman" w:cs="Times New Roman"/>
          <w:sz w:val="24"/>
          <w:szCs w:val="24"/>
        </w:rPr>
        <w:t>supervisors approv</w:t>
      </w:r>
      <w:r w:rsidR="001F2059">
        <w:rPr>
          <w:rFonts w:ascii="Times New Roman" w:eastAsia="Times New Roman" w:hAnsi="Times New Roman" w:cs="Times New Roman"/>
          <w:sz w:val="24"/>
          <w:szCs w:val="24"/>
        </w:rPr>
        <w:t>ed</w:t>
      </w:r>
      <w:r w:rsidR="00823086" w:rsidRPr="009C283F">
        <w:rPr>
          <w:rFonts w:ascii="Times New Roman" w:eastAsia="Times New Roman" w:hAnsi="Times New Roman" w:cs="Times New Roman"/>
          <w:sz w:val="24"/>
          <w:szCs w:val="24"/>
        </w:rPr>
        <w:t xml:space="preserve"> the attendance and leave of </w:t>
      </w:r>
      <w:r w:rsidR="001F2059">
        <w:rPr>
          <w:rFonts w:ascii="Times New Roman" w:eastAsia="Times New Roman" w:hAnsi="Times New Roman" w:cs="Times New Roman"/>
          <w:sz w:val="24"/>
          <w:szCs w:val="24"/>
        </w:rPr>
        <w:t xml:space="preserve">the </w:t>
      </w:r>
      <w:r w:rsidR="00A07895">
        <w:rPr>
          <w:rFonts w:ascii="Times New Roman" w:eastAsia="Times New Roman" w:hAnsi="Times New Roman" w:cs="Times New Roman"/>
          <w:sz w:val="24"/>
          <w:szCs w:val="24"/>
        </w:rPr>
        <w:t>selected</w:t>
      </w:r>
      <w:r w:rsidR="00823086" w:rsidRPr="009C283F">
        <w:rPr>
          <w:rFonts w:ascii="Times New Roman" w:eastAsia="Times New Roman" w:hAnsi="Times New Roman" w:cs="Times New Roman"/>
          <w:sz w:val="24"/>
          <w:szCs w:val="24"/>
        </w:rPr>
        <w:t xml:space="preserve"> employees</w:t>
      </w:r>
      <w:r w:rsidR="005815A5">
        <w:rPr>
          <w:rFonts w:ascii="Times New Roman" w:eastAsia="Times New Roman" w:hAnsi="Times New Roman" w:cs="Times New Roman"/>
          <w:sz w:val="24"/>
          <w:szCs w:val="24"/>
        </w:rPr>
        <w:t xml:space="preserve"> </w:t>
      </w:r>
      <w:r w:rsidR="003F1620">
        <w:rPr>
          <w:rFonts w:ascii="Times New Roman" w:eastAsia="Times New Roman" w:hAnsi="Times New Roman" w:cs="Times New Roman"/>
          <w:sz w:val="24"/>
          <w:szCs w:val="24"/>
        </w:rPr>
        <w:t>or officials</w:t>
      </w:r>
      <w:r w:rsidR="00823086" w:rsidRPr="009C283F">
        <w:rPr>
          <w:rFonts w:ascii="Times New Roman" w:eastAsia="Times New Roman" w:hAnsi="Times New Roman" w:cs="Times New Roman"/>
          <w:sz w:val="24"/>
          <w:szCs w:val="24"/>
        </w:rPr>
        <w:t>.</w:t>
      </w:r>
    </w:p>
    <w:p w14:paraId="267D4673" w14:textId="2A13B967" w:rsidR="00823086" w:rsidRPr="00C36FD3" w:rsidRDefault="00A6006E" w:rsidP="00C471F1">
      <w:pPr>
        <w:numPr>
          <w:ilvl w:val="0"/>
          <w:numId w:val="33"/>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Observe any leave accrued or taken during the pay period is reflected in the entity’s </w:t>
      </w:r>
      <w:r w:rsidRPr="00C36FD3">
        <w:rPr>
          <w:rFonts w:ascii="Times New Roman" w:eastAsia="Times New Roman" w:hAnsi="Times New Roman" w:cs="Times New Roman"/>
          <w:sz w:val="24"/>
          <w:szCs w:val="24"/>
        </w:rPr>
        <w:t>cumulative leave records.</w:t>
      </w:r>
    </w:p>
    <w:p w14:paraId="3CBC1C28" w14:textId="0C6C1950" w:rsidR="00C36FD3" w:rsidRPr="00C36FD3" w:rsidRDefault="00C36FD3">
      <w:pPr>
        <w:numPr>
          <w:ilvl w:val="0"/>
          <w:numId w:val="33"/>
        </w:numPr>
        <w:spacing w:after="120" w:line="240" w:lineRule="auto"/>
        <w:jc w:val="both"/>
        <w:rPr>
          <w:rFonts w:ascii="Times New Roman" w:eastAsia="Times New Roman" w:hAnsi="Times New Roman" w:cs="Times New Roman"/>
          <w:sz w:val="24"/>
          <w:szCs w:val="24"/>
        </w:rPr>
      </w:pPr>
      <w:r w:rsidRPr="0096411C">
        <w:rPr>
          <w:rFonts w:ascii="Times New Roman" w:eastAsia="Times New Roman" w:hAnsi="Times New Roman" w:cs="Times New Roman"/>
          <w:sz w:val="24"/>
          <w:szCs w:val="24"/>
        </w:rPr>
        <w:t xml:space="preserve">Observe the rate paid to the employees or officials agree to the authorized salary/pay rate found within the personnel file. </w:t>
      </w:r>
    </w:p>
    <w:p w14:paraId="2F046CEA" w14:textId="28F2C0DB" w:rsidR="00823086" w:rsidRPr="00C36FD3" w:rsidRDefault="001F2059" w:rsidP="009B2EAD">
      <w:pPr>
        <w:numPr>
          <w:ilvl w:val="0"/>
          <w:numId w:val="10"/>
        </w:numPr>
        <w:spacing w:after="120" w:line="240" w:lineRule="auto"/>
        <w:jc w:val="both"/>
        <w:rPr>
          <w:rFonts w:ascii="Times New Roman" w:eastAsia="Calibri" w:hAnsi="Times New Roman" w:cs="Times New Roman"/>
          <w:sz w:val="24"/>
          <w:szCs w:val="24"/>
        </w:rPr>
      </w:pPr>
      <w:r w:rsidRPr="00C36FD3">
        <w:rPr>
          <w:rFonts w:ascii="Times New Roman" w:eastAsia="Calibri" w:hAnsi="Times New Roman" w:cs="Times New Roman"/>
          <w:sz w:val="24"/>
          <w:szCs w:val="24"/>
        </w:rPr>
        <w:t xml:space="preserve">Obtain </w:t>
      </w:r>
      <w:r w:rsidR="00A6006E" w:rsidRPr="00C36FD3">
        <w:rPr>
          <w:rFonts w:ascii="Times New Roman" w:eastAsia="Calibri" w:hAnsi="Times New Roman" w:cs="Times New Roman"/>
          <w:sz w:val="24"/>
          <w:szCs w:val="24"/>
        </w:rPr>
        <w:t>a</w:t>
      </w:r>
      <w:r w:rsidRPr="00C36FD3">
        <w:rPr>
          <w:rFonts w:ascii="Times New Roman" w:eastAsia="Calibri" w:hAnsi="Times New Roman" w:cs="Times New Roman"/>
          <w:sz w:val="24"/>
          <w:szCs w:val="24"/>
        </w:rPr>
        <w:t xml:space="preserve"> list</w:t>
      </w:r>
      <w:r w:rsidR="00A6006E" w:rsidRPr="00C36FD3">
        <w:rPr>
          <w:rFonts w:ascii="Times New Roman" w:eastAsia="Calibri" w:hAnsi="Times New Roman" w:cs="Times New Roman"/>
          <w:sz w:val="24"/>
          <w:szCs w:val="24"/>
        </w:rPr>
        <w:t>ing</w:t>
      </w:r>
      <w:r w:rsidRPr="00C36FD3">
        <w:rPr>
          <w:rFonts w:ascii="Times New Roman" w:eastAsia="Calibri" w:hAnsi="Times New Roman" w:cs="Times New Roman"/>
          <w:sz w:val="24"/>
          <w:szCs w:val="24"/>
        </w:rPr>
        <w:t xml:space="preserve"> of those employees</w:t>
      </w:r>
      <w:r w:rsidR="00C36FD3" w:rsidRPr="00C36FD3">
        <w:rPr>
          <w:rFonts w:ascii="Times New Roman" w:eastAsia="Calibri" w:hAnsi="Times New Roman" w:cs="Times New Roman"/>
          <w:sz w:val="24"/>
          <w:szCs w:val="24"/>
        </w:rPr>
        <w:t xml:space="preserve"> or </w:t>
      </w:r>
      <w:r w:rsidR="00492215" w:rsidRPr="00C36FD3">
        <w:rPr>
          <w:rFonts w:ascii="Times New Roman" w:eastAsia="Calibri" w:hAnsi="Times New Roman" w:cs="Times New Roman"/>
          <w:sz w:val="24"/>
          <w:szCs w:val="24"/>
        </w:rPr>
        <w:t>officials</w:t>
      </w:r>
      <w:r w:rsidRPr="00C36FD3">
        <w:rPr>
          <w:rFonts w:ascii="Times New Roman" w:eastAsia="Calibri" w:hAnsi="Times New Roman" w:cs="Times New Roman"/>
          <w:sz w:val="24"/>
          <w:szCs w:val="24"/>
        </w:rPr>
        <w:t xml:space="preserve"> that </w:t>
      </w:r>
      <w:r w:rsidR="00B946B1" w:rsidRPr="00C36FD3">
        <w:rPr>
          <w:rFonts w:ascii="Times New Roman" w:eastAsia="Calibri" w:hAnsi="Times New Roman" w:cs="Times New Roman"/>
          <w:sz w:val="24"/>
          <w:szCs w:val="24"/>
        </w:rPr>
        <w:t>received termination payments</w:t>
      </w:r>
      <w:r w:rsidR="00123E29" w:rsidRPr="00C36FD3">
        <w:rPr>
          <w:rFonts w:ascii="Times New Roman" w:eastAsia="Calibri" w:hAnsi="Times New Roman" w:cs="Times New Roman"/>
          <w:sz w:val="24"/>
          <w:szCs w:val="24"/>
        </w:rPr>
        <w:t xml:space="preserve"> during the fiscal period and</w:t>
      </w:r>
      <w:r w:rsidR="00B946B1" w:rsidRPr="00C36FD3">
        <w:rPr>
          <w:rFonts w:ascii="Times New Roman" w:eastAsia="Calibri" w:hAnsi="Times New Roman" w:cs="Times New Roman"/>
          <w:sz w:val="24"/>
          <w:szCs w:val="24"/>
        </w:rPr>
        <w:t xml:space="preserve"> </w:t>
      </w:r>
      <w:r w:rsidRPr="00C36FD3">
        <w:rPr>
          <w:rFonts w:ascii="Times New Roman" w:eastAsia="Calibri" w:hAnsi="Times New Roman" w:cs="Times New Roman"/>
          <w:sz w:val="24"/>
          <w:szCs w:val="24"/>
        </w:rPr>
        <w:t>management’s representation that the list is complete</w:t>
      </w:r>
      <w:r w:rsidR="003F1620">
        <w:rPr>
          <w:rFonts w:ascii="Times New Roman" w:eastAsia="Calibri" w:hAnsi="Times New Roman" w:cs="Times New Roman"/>
          <w:sz w:val="24"/>
          <w:szCs w:val="24"/>
        </w:rPr>
        <w:t>.</w:t>
      </w:r>
      <w:r w:rsidR="00C36FD3" w:rsidRPr="0096411C">
        <w:rPr>
          <w:rFonts w:ascii="Times New Roman" w:eastAsia="Calibri" w:hAnsi="Times New Roman" w:cs="Times New Roman"/>
          <w:sz w:val="24"/>
          <w:szCs w:val="24"/>
        </w:rPr>
        <w:t xml:space="preserve"> Randomly select two employees or officials, obtain related documentation of the hours and pay rates used in management’s termination payment calculations and the entity</w:t>
      </w:r>
      <w:r w:rsidR="003F1620">
        <w:rPr>
          <w:rFonts w:ascii="Times New Roman" w:eastAsia="Calibri" w:hAnsi="Times New Roman" w:cs="Times New Roman"/>
          <w:sz w:val="24"/>
          <w:szCs w:val="24"/>
        </w:rPr>
        <w:t xml:space="preserve">’s </w:t>
      </w:r>
      <w:r w:rsidR="00C36FD3" w:rsidRPr="0096411C">
        <w:rPr>
          <w:rFonts w:ascii="Times New Roman" w:eastAsia="Calibri" w:hAnsi="Times New Roman" w:cs="Times New Roman"/>
          <w:sz w:val="24"/>
          <w:szCs w:val="24"/>
        </w:rPr>
        <w:t>policy on termination payments. Agree the hours to the employee or officials’ cumulat</w:t>
      </w:r>
      <w:r w:rsidR="003F1620">
        <w:rPr>
          <w:rFonts w:ascii="Times New Roman" w:eastAsia="Calibri" w:hAnsi="Times New Roman" w:cs="Times New Roman"/>
          <w:sz w:val="24"/>
          <w:szCs w:val="24"/>
        </w:rPr>
        <w:t>ive</w:t>
      </w:r>
      <w:r w:rsidR="00C36FD3" w:rsidRPr="0096411C">
        <w:rPr>
          <w:rFonts w:ascii="Times New Roman" w:eastAsia="Calibri" w:hAnsi="Times New Roman" w:cs="Times New Roman"/>
          <w:sz w:val="24"/>
          <w:szCs w:val="24"/>
        </w:rPr>
        <w:t xml:space="preserve"> leave records, agree the pay rates to the employee or officials’ authorized pay rates in the employee or officials’ personnel files, and agree the termination payment to entity policy.</w:t>
      </w:r>
    </w:p>
    <w:p w14:paraId="57D31D41" w14:textId="06489B04" w:rsidR="00C0100E" w:rsidRPr="00C36FD3" w:rsidRDefault="00DC6DD4">
      <w:pPr>
        <w:numPr>
          <w:ilvl w:val="0"/>
          <w:numId w:val="10"/>
        </w:numPr>
        <w:spacing w:after="120" w:line="240" w:lineRule="auto"/>
        <w:jc w:val="both"/>
        <w:rPr>
          <w:rFonts w:ascii="Times New Roman" w:eastAsia="Calibri" w:hAnsi="Times New Roman" w:cs="Times New Roman"/>
          <w:sz w:val="24"/>
          <w:szCs w:val="24"/>
        </w:rPr>
      </w:pPr>
      <w:r w:rsidRPr="00C36FD3">
        <w:rPr>
          <w:rFonts w:ascii="Times New Roman" w:eastAsia="Calibri" w:hAnsi="Times New Roman" w:cs="Times New Roman"/>
          <w:sz w:val="24"/>
          <w:szCs w:val="24"/>
        </w:rPr>
        <w:t xml:space="preserve">Obtain management’s representation </w:t>
      </w:r>
      <w:r w:rsidR="00123E29" w:rsidRPr="00C36FD3">
        <w:rPr>
          <w:rFonts w:ascii="Times New Roman" w:eastAsia="Calibri" w:hAnsi="Times New Roman" w:cs="Times New Roman"/>
          <w:sz w:val="24"/>
          <w:szCs w:val="24"/>
        </w:rPr>
        <w:t xml:space="preserve">that employer and employee portions </w:t>
      </w:r>
      <w:r w:rsidR="00C36FD3" w:rsidRPr="0096411C">
        <w:rPr>
          <w:rFonts w:ascii="Times New Roman" w:eastAsia="Calibri" w:hAnsi="Times New Roman" w:cs="Times New Roman"/>
          <w:sz w:val="24"/>
          <w:szCs w:val="24"/>
        </w:rPr>
        <w:t>of third-party payroll related amounts (e.g.</w:t>
      </w:r>
      <w:r w:rsidR="003F1620">
        <w:rPr>
          <w:rFonts w:ascii="Times New Roman" w:eastAsia="Calibri" w:hAnsi="Times New Roman" w:cs="Times New Roman"/>
          <w:sz w:val="24"/>
          <w:szCs w:val="24"/>
        </w:rPr>
        <w:t>,</w:t>
      </w:r>
      <w:r w:rsidR="00C36FD3" w:rsidRPr="0096411C">
        <w:rPr>
          <w:rFonts w:ascii="Times New Roman" w:eastAsia="Calibri" w:hAnsi="Times New Roman" w:cs="Times New Roman"/>
          <w:sz w:val="24"/>
          <w:szCs w:val="24"/>
        </w:rPr>
        <w:t xml:space="preserve"> payroll taxes, retirement contributions, health insurance premiums, garnishments, workers’ compensation premiums, etc.) have been paid, and any associated forms have been filed, by required deadlines.</w:t>
      </w:r>
    </w:p>
    <w:p w14:paraId="5916350E" w14:textId="77777777" w:rsidR="00BB16F0" w:rsidRDefault="00BB16F0" w:rsidP="00823086">
      <w:pPr>
        <w:spacing w:after="0" w:line="240" w:lineRule="auto"/>
        <w:jc w:val="both"/>
        <w:rPr>
          <w:rFonts w:ascii="Times New Roman" w:eastAsia="Times New Roman" w:hAnsi="Times New Roman" w:cs="Times New Roman"/>
          <w:sz w:val="24"/>
          <w:szCs w:val="24"/>
        </w:rPr>
      </w:pPr>
    </w:p>
    <w:p w14:paraId="43FE503F" w14:textId="77777777" w:rsidR="00281E36" w:rsidRPr="00281E36" w:rsidRDefault="00281E36" w:rsidP="00281E36">
      <w:pPr>
        <w:pBdr>
          <w:bottom w:val="single" w:sz="4" w:space="1" w:color="auto"/>
        </w:pBdr>
        <w:spacing w:after="0"/>
        <w:rPr>
          <w:rFonts w:ascii="Times New Roman" w:eastAsia="Calibri" w:hAnsi="Times New Roman" w:cs="Times New Roman"/>
          <w:b/>
          <w:sz w:val="24"/>
          <w:szCs w:val="24"/>
        </w:rPr>
      </w:pPr>
      <w:r w:rsidRPr="00281E36">
        <w:rPr>
          <w:rFonts w:ascii="Times New Roman" w:eastAsia="Calibri" w:hAnsi="Times New Roman" w:cs="Times New Roman"/>
          <w:b/>
          <w:i/>
          <w:sz w:val="24"/>
          <w:szCs w:val="24"/>
        </w:rPr>
        <w:t>Ethics</w:t>
      </w:r>
      <w:r w:rsidR="00132BBC">
        <w:rPr>
          <w:rStyle w:val="FootnoteReference"/>
          <w:rFonts w:ascii="Times New Roman" w:eastAsia="Calibri" w:hAnsi="Times New Roman" w:cs="Times New Roman"/>
          <w:b/>
          <w:i/>
          <w:sz w:val="24"/>
          <w:szCs w:val="24"/>
        </w:rPr>
        <w:footnoteReference w:id="20"/>
      </w:r>
    </w:p>
    <w:p w14:paraId="0E596BE3" w14:textId="77777777" w:rsidR="00281E36" w:rsidRPr="00281E36" w:rsidRDefault="00281E36" w:rsidP="00281E36">
      <w:pPr>
        <w:spacing w:after="0"/>
        <w:rPr>
          <w:rFonts w:ascii="Times New Roman" w:eastAsia="Calibri" w:hAnsi="Times New Roman" w:cs="Times New Roman"/>
          <w:sz w:val="24"/>
          <w:szCs w:val="24"/>
        </w:rPr>
      </w:pPr>
    </w:p>
    <w:p w14:paraId="178CA5A1" w14:textId="77777777" w:rsidR="0032176A" w:rsidRPr="00A54BEA" w:rsidRDefault="00492215" w:rsidP="009B2EAD">
      <w:pPr>
        <w:numPr>
          <w:ilvl w:val="0"/>
          <w:numId w:val="10"/>
        </w:numPr>
        <w:spacing w:after="120" w:line="240" w:lineRule="auto"/>
        <w:jc w:val="both"/>
        <w:rPr>
          <w:rFonts w:ascii="Times New Roman" w:eastAsia="Calibri" w:hAnsi="Times New Roman" w:cs="Times New Roman"/>
          <w:sz w:val="24"/>
          <w:szCs w:val="24"/>
        </w:rPr>
      </w:pPr>
      <w:r w:rsidRPr="00A54BEA">
        <w:rPr>
          <w:rFonts w:ascii="Times New Roman" w:eastAsia="Calibri" w:hAnsi="Times New Roman" w:cs="Times New Roman"/>
          <w:sz w:val="24"/>
          <w:szCs w:val="24"/>
        </w:rPr>
        <w:t xml:space="preserve">Using the </w:t>
      </w:r>
      <w:r w:rsidR="002C6A0C">
        <w:rPr>
          <w:rFonts w:ascii="Times New Roman" w:eastAsia="Calibri" w:hAnsi="Times New Roman" w:cs="Times New Roman"/>
          <w:sz w:val="24"/>
          <w:szCs w:val="24"/>
        </w:rPr>
        <w:t>5</w:t>
      </w:r>
      <w:r w:rsidR="0001448D" w:rsidRPr="00A54BEA">
        <w:rPr>
          <w:rFonts w:ascii="Times New Roman" w:eastAsia="Calibri" w:hAnsi="Times New Roman" w:cs="Times New Roman"/>
          <w:sz w:val="24"/>
          <w:szCs w:val="24"/>
        </w:rPr>
        <w:t xml:space="preserve"> </w:t>
      </w:r>
      <w:r w:rsidRPr="00A54BEA">
        <w:rPr>
          <w:rFonts w:ascii="Times New Roman" w:eastAsia="Calibri" w:hAnsi="Times New Roman" w:cs="Times New Roman"/>
          <w:sz w:val="24"/>
          <w:szCs w:val="24"/>
        </w:rPr>
        <w:t>randomly selected employees</w:t>
      </w:r>
      <w:r w:rsidR="0001448D" w:rsidRPr="00A54BEA">
        <w:rPr>
          <w:rFonts w:ascii="Times New Roman" w:eastAsia="Calibri" w:hAnsi="Times New Roman" w:cs="Times New Roman"/>
          <w:sz w:val="24"/>
          <w:szCs w:val="24"/>
        </w:rPr>
        <w:t>/officials</w:t>
      </w:r>
      <w:r w:rsidRPr="00A54BEA">
        <w:rPr>
          <w:rFonts w:ascii="Times New Roman" w:eastAsia="Calibri" w:hAnsi="Times New Roman" w:cs="Times New Roman"/>
          <w:sz w:val="24"/>
          <w:szCs w:val="24"/>
        </w:rPr>
        <w:t xml:space="preserve"> from procedure #</w:t>
      </w:r>
      <w:r w:rsidR="00632DF3">
        <w:rPr>
          <w:rFonts w:ascii="Times New Roman" w:eastAsia="Calibri" w:hAnsi="Times New Roman" w:cs="Times New Roman"/>
          <w:sz w:val="24"/>
          <w:szCs w:val="24"/>
        </w:rPr>
        <w:t>16</w:t>
      </w:r>
      <w:r w:rsidRPr="00A54BEA">
        <w:rPr>
          <w:rFonts w:ascii="Times New Roman" w:eastAsia="Calibri" w:hAnsi="Times New Roman" w:cs="Times New Roman"/>
          <w:sz w:val="24"/>
          <w:szCs w:val="24"/>
        </w:rPr>
        <w:t xml:space="preserve"> under </w:t>
      </w:r>
      <w:r w:rsidR="00B46E24" w:rsidRPr="00A54BEA">
        <w:rPr>
          <w:rFonts w:ascii="Times New Roman" w:eastAsia="Calibri" w:hAnsi="Times New Roman" w:cs="Times New Roman"/>
          <w:sz w:val="24"/>
          <w:szCs w:val="24"/>
        </w:rPr>
        <w:t>“Payroll and P</w:t>
      </w:r>
      <w:r w:rsidR="002717CE" w:rsidRPr="00A54BEA">
        <w:rPr>
          <w:rFonts w:ascii="Times New Roman" w:eastAsia="Calibri" w:hAnsi="Times New Roman" w:cs="Times New Roman"/>
          <w:sz w:val="24"/>
          <w:szCs w:val="24"/>
        </w:rPr>
        <w:t>ersonnel” above</w:t>
      </w:r>
      <w:r w:rsidR="002717CE" w:rsidRPr="009B2EAD">
        <w:rPr>
          <w:rStyle w:val="FootnoteReference"/>
        </w:rPr>
        <w:t>,</w:t>
      </w:r>
      <w:r w:rsidR="002717CE" w:rsidRPr="00A54BEA">
        <w:rPr>
          <w:rFonts w:ascii="Times New Roman" w:eastAsia="Calibri" w:hAnsi="Times New Roman" w:cs="Times New Roman"/>
          <w:sz w:val="24"/>
          <w:szCs w:val="24"/>
        </w:rPr>
        <w:t xml:space="preserve"> obtain ethics documentation from management</w:t>
      </w:r>
      <w:r w:rsidR="0032176A" w:rsidRPr="00A54BEA">
        <w:rPr>
          <w:rFonts w:ascii="Times New Roman" w:eastAsia="Calibri" w:hAnsi="Times New Roman" w:cs="Times New Roman"/>
          <w:sz w:val="24"/>
          <w:szCs w:val="24"/>
        </w:rPr>
        <w:t>, and:</w:t>
      </w:r>
    </w:p>
    <w:p w14:paraId="09BAD3E1" w14:textId="7D9D899A" w:rsidR="002717CE" w:rsidRDefault="0032176A" w:rsidP="0032176A">
      <w:pPr>
        <w:numPr>
          <w:ilvl w:val="1"/>
          <w:numId w:val="3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2717CE">
        <w:rPr>
          <w:rFonts w:ascii="Times New Roman" w:eastAsia="Times New Roman" w:hAnsi="Times New Roman" w:cs="Times New Roman"/>
          <w:sz w:val="24"/>
          <w:szCs w:val="24"/>
        </w:rPr>
        <w:t>bserve</w:t>
      </w:r>
      <w:r w:rsidR="00394FA1">
        <w:rPr>
          <w:rFonts w:ascii="Times New Roman" w:eastAsia="Times New Roman" w:hAnsi="Times New Roman" w:cs="Times New Roman"/>
          <w:sz w:val="24"/>
          <w:szCs w:val="24"/>
        </w:rPr>
        <w:t xml:space="preserve"> whether</w:t>
      </w:r>
      <w:r w:rsidR="002717CE">
        <w:rPr>
          <w:rFonts w:ascii="Times New Roman" w:eastAsia="Times New Roman" w:hAnsi="Times New Roman" w:cs="Times New Roman"/>
          <w:sz w:val="24"/>
          <w:szCs w:val="24"/>
        </w:rPr>
        <w:t xml:space="preserve"> the documentation </w:t>
      </w:r>
      <w:r>
        <w:rPr>
          <w:rFonts w:ascii="Times New Roman" w:eastAsia="Times New Roman" w:hAnsi="Times New Roman" w:cs="Times New Roman"/>
          <w:sz w:val="24"/>
          <w:szCs w:val="24"/>
        </w:rPr>
        <w:t>demonstrates each employee/official completed one hour of ethics training during the fiscal period.</w:t>
      </w:r>
    </w:p>
    <w:p w14:paraId="5F5F0FAA" w14:textId="77FB588C" w:rsidR="0032176A" w:rsidRPr="00C36FD3" w:rsidRDefault="00C36FD3">
      <w:pPr>
        <w:numPr>
          <w:ilvl w:val="1"/>
          <w:numId w:val="32"/>
        </w:numPr>
        <w:spacing w:after="120" w:line="240" w:lineRule="auto"/>
        <w:jc w:val="both"/>
        <w:rPr>
          <w:rFonts w:ascii="Times New Roman" w:eastAsia="Times New Roman" w:hAnsi="Times New Roman" w:cs="Times New Roman"/>
          <w:sz w:val="24"/>
          <w:szCs w:val="24"/>
        </w:rPr>
      </w:pPr>
      <w:r w:rsidRPr="0096411C">
        <w:rPr>
          <w:rFonts w:ascii="Times New Roman" w:eastAsia="Times New Roman" w:hAnsi="Times New Roman" w:cs="Times New Roman"/>
          <w:sz w:val="24"/>
          <w:szCs w:val="24"/>
        </w:rPr>
        <w:lastRenderedPageBreak/>
        <w:t>Observe</w:t>
      </w:r>
      <w:r w:rsidR="00394FA1">
        <w:rPr>
          <w:rFonts w:ascii="Times New Roman" w:eastAsia="Times New Roman" w:hAnsi="Times New Roman" w:cs="Times New Roman"/>
          <w:sz w:val="24"/>
          <w:szCs w:val="24"/>
        </w:rPr>
        <w:t xml:space="preserve"> whether</w:t>
      </w:r>
      <w:r w:rsidRPr="0096411C">
        <w:rPr>
          <w:rFonts w:ascii="Times New Roman" w:eastAsia="Times New Roman" w:hAnsi="Times New Roman" w:cs="Times New Roman"/>
          <w:sz w:val="24"/>
          <w:szCs w:val="24"/>
        </w:rPr>
        <w:t xml:space="preserve"> the entity maintains documentation which demonstrates each employee and official were notified of any changes to the entity’s ethics policy during the fiscal period, as applicable.</w:t>
      </w:r>
    </w:p>
    <w:p w14:paraId="5CE8DE0C" w14:textId="77777777" w:rsidR="007D679A" w:rsidRPr="009C283F" w:rsidRDefault="007D679A" w:rsidP="00823086">
      <w:pPr>
        <w:spacing w:after="0" w:line="240" w:lineRule="auto"/>
        <w:jc w:val="both"/>
        <w:rPr>
          <w:rFonts w:ascii="Times New Roman" w:eastAsia="Times New Roman" w:hAnsi="Times New Roman" w:cs="Times New Roman"/>
          <w:sz w:val="24"/>
          <w:szCs w:val="24"/>
        </w:rPr>
      </w:pPr>
    </w:p>
    <w:p w14:paraId="6C9B64C6" w14:textId="77777777" w:rsidR="00823086" w:rsidRPr="009C283F" w:rsidRDefault="00823086" w:rsidP="00823086">
      <w:pPr>
        <w:pBdr>
          <w:bottom w:val="single" w:sz="4" w:space="1" w:color="auto"/>
        </w:pBdr>
        <w:spacing w:after="0" w:line="240" w:lineRule="auto"/>
        <w:jc w:val="both"/>
        <w:rPr>
          <w:rFonts w:ascii="Times New Roman" w:eastAsia="Times New Roman" w:hAnsi="Times New Roman" w:cs="Times New Roman"/>
          <w:b/>
          <w:i/>
          <w:color w:val="000000"/>
          <w:sz w:val="24"/>
          <w:szCs w:val="24"/>
        </w:rPr>
      </w:pPr>
      <w:bookmarkStart w:id="8" w:name="OLE_LINK1"/>
      <w:r w:rsidRPr="009C283F">
        <w:rPr>
          <w:rFonts w:ascii="Times New Roman" w:eastAsia="Times New Roman" w:hAnsi="Times New Roman" w:cs="Times New Roman"/>
          <w:b/>
          <w:i/>
          <w:color w:val="000000"/>
          <w:sz w:val="24"/>
          <w:szCs w:val="24"/>
        </w:rPr>
        <w:t>Debt Service</w:t>
      </w:r>
      <w:r w:rsidR="00171F23">
        <w:rPr>
          <w:rStyle w:val="FootnoteReference"/>
          <w:rFonts w:ascii="Times New Roman" w:eastAsia="Times New Roman" w:hAnsi="Times New Roman" w:cs="Times New Roman"/>
          <w:b/>
          <w:i/>
          <w:color w:val="000000"/>
          <w:sz w:val="24"/>
          <w:szCs w:val="24"/>
        </w:rPr>
        <w:footnoteReference w:id="21"/>
      </w:r>
    </w:p>
    <w:bookmarkEnd w:id="8"/>
    <w:p w14:paraId="2075E7C8" w14:textId="77777777" w:rsidR="00823086" w:rsidRPr="009C283F" w:rsidRDefault="00823086" w:rsidP="00823086">
      <w:pPr>
        <w:spacing w:after="0" w:line="240" w:lineRule="auto"/>
        <w:jc w:val="both"/>
        <w:rPr>
          <w:rFonts w:ascii="Times New Roman" w:eastAsia="Times New Roman" w:hAnsi="Times New Roman" w:cs="Times New Roman"/>
          <w:sz w:val="24"/>
          <w:szCs w:val="24"/>
        </w:rPr>
      </w:pPr>
    </w:p>
    <w:p w14:paraId="6649B434" w14:textId="000A169F" w:rsidR="00DE6ADB" w:rsidRPr="009B2EAD" w:rsidRDefault="00E41F05" w:rsidP="009B2EAD">
      <w:pPr>
        <w:numPr>
          <w:ilvl w:val="0"/>
          <w:numId w:val="10"/>
        </w:numPr>
        <w:spacing w:after="120" w:line="240" w:lineRule="auto"/>
        <w:jc w:val="both"/>
        <w:rPr>
          <w:rFonts w:ascii="Times New Roman" w:eastAsia="Calibri" w:hAnsi="Times New Roman" w:cs="Times New Roman"/>
          <w:sz w:val="24"/>
          <w:szCs w:val="24"/>
        </w:rPr>
      </w:pPr>
      <w:r w:rsidRPr="009B2EAD">
        <w:rPr>
          <w:rFonts w:ascii="Times New Roman" w:eastAsia="Calibri" w:hAnsi="Times New Roman" w:cs="Times New Roman"/>
          <w:sz w:val="24"/>
          <w:szCs w:val="24"/>
        </w:rPr>
        <w:t xml:space="preserve">Obtain a listing of bonds/notes </w:t>
      </w:r>
      <w:r w:rsidR="00AF10D8">
        <w:rPr>
          <w:rFonts w:ascii="Times New Roman" w:eastAsia="Calibri" w:hAnsi="Times New Roman" w:cs="Times New Roman"/>
          <w:sz w:val="24"/>
          <w:szCs w:val="24"/>
        </w:rPr>
        <w:t xml:space="preserve">and other debt instruments </w:t>
      </w:r>
      <w:r w:rsidRPr="009B2EAD">
        <w:rPr>
          <w:rFonts w:ascii="Times New Roman" w:eastAsia="Calibri" w:hAnsi="Times New Roman" w:cs="Times New Roman"/>
          <w:sz w:val="24"/>
          <w:szCs w:val="24"/>
        </w:rPr>
        <w:t xml:space="preserve">issued during the fiscal period and management’s representation that the listing is complete.  Select all </w:t>
      </w:r>
      <w:r w:rsidR="00AF10D8">
        <w:rPr>
          <w:rFonts w:ascii="Times New Roman" w:eastAsia="Calibri" w:hAnsi="Times New Roman" w:cs="Times New Roman"/>
          <w:sz w:val="24"/>
          <w:szCs w:val="24"/>
        </w:rPr>
        <w:t>debt instruments</w:t>
      </w:r>
      <w:r w:rsidRPr="009B2EAD">
        <w:rPr>
          <w:rFonts w:ascii="Times New Roman" w:eastAsia="Calibri" w:hAnsi="Times New Roman" w:cs="Times New Roman"/>
          <w:sz w:val="24"/>
          <w:szCs w:val="24"/>
        </w:rPr>
        <w:t xml:space="preserve"> on the listing, </w:t>
      </w:r>
      <w:r w:rsidR="00CC19F9" w:rsidRPr="009B2EAD">
        <w:rPr>
          <w:rFonts w:ascii="Times New Roman" w:eastAsia="Calibri" w:hAnsi="Times New Roman" w:cs="Times New Roman"/>
          <w:sz w:val="24"/>
          <w:szCs w:val="24"/>
        </w:rPr>
        <w:t>obtain supporting documenta</w:t>
      </w:r>
      <w:r w:rsidR="00376027" w:rsidRPr="009B2EAD">
        <w:rPr>
          <w:rFonts w:ascii="Times New Roman" w:eastAsia="Calibri" w:hAnsi="Times New Roman" w:cs="Times New Roman"/>
          <w:sz w:val="24"/>
          <w:szCs w:val="24"/>
        </w:rPr>
        <w:t xml:space="preserve">tion, and </w:t>
      </w:r>
      <w:r w:rsidR="00A94BC5" w:rsidRPr="009B2EAD">
        <w:rPr>
          <w:rFonts w:ascii="Times New Roman" w:eastAsia="Calibri" w:hAnsi="Times New Roman" w:cs="Times New Roman"/>
          <w:sz w:val="24"/>
          <w:szCs w:val="24"/>
        </w:rPr>
        <w:t>observe</w:t>
      </w:r>
      <w:r w:rsidR="00823086" w:rsidRPr="009B2EAD">
        <w:rPr>
          <w:rFonts w:ascii="Times New Roman" w:eastAsia="Calibri" w:hAnsi="Times New Roman" w:cs="Times New Roman"/>
          <w:sz w:val="24"/>
          <w:szCs w:val="24"/>
        </w:rPr>
        <w:t xml:space="preserve"> State Bond Commission approval was obtained</w:t>
      </w:r>
      <w:r w:rsidRPr="009B2EAD">
        <w:rPr>
          <w:rFonts w:ascii="Times New Roman" w:eastAsia="Calibri" w:hAnsi="Times New Roman" w:cs="Times New Roman"/>
          <w:sz w:val="24"/>
          <w:szCs w:val="24"/>
        </w:rPr>
        <w:t xml:space="preserve"> for each </w:t>
      </w:r>
      <w:r w:rsidR="00AF10D8">
        <w:rPr>
          <w:rFonts w:ascii="Times New Roman" w:eastAsia="Calibri" w:hAnsi="Times New Roman" w:cs="Times New Roman"/>
          <w:sz w:val="24"/>
          <w:szCs w:val="24"/>
        </w:rPr>
        <w:t>debt instrument</w:t>
      </w:r>
      <w:r w:rsidRPr="009B2EAD">
        <w:rPr>
          <w:rFonts w:ascii="Times New Roman" w:eastAsia="Calibri" w:hAnsi="Times New Roman" w:cs="Times New Roman"/>
          <w:sz w:val="24"/>
          <w:szCs w:val="24"/>
        </w:rPr>
        <w:t xml:space="preserve"> issued.</w:t>
      </w:r>
    </w:p>
    <w:p w14:paraId="349312D9" w14:textId="77777777" w:rsidR="00823086" w:rsidRPr="009B2EAD" w:rsidRDefault="00E41F05" w:rsidP="009B2EAD">
      <w:pPr>
        <w:numPr>
          <w:ilvl w:val="0"/>
          <w:numId w:val="10"/>
        </w:numPr>
        <w:spacing w:after="120" w:line="240" w:lineRule="auto"/>
        <w:jc w:val="both"/>
        <w:rPr>
          <w:rFonts w:ascii="Times New Roman" w:eastAsia="Calibri" w:hAnsi="Times New Roman" w:cs="Times New Roman"/>
          <w:sz w:val="24"/>
          <w:szCs w:val="24"/>
        </w:rPr>
      </w:pPr>
      <w:r w:rsidRPr="009B2EAD">
        <w:rPr>
          <w:rFonts w:ascii="Times New Roman" w:eastAsia="Calibri" w:hAnsi="Times New Roman" w:cs="Times New Roman"/>
          <w:sz w:val="24"/>
          <w:szCs w:val="24"/>
        </w:rPr>
        <w:t xml:space="preserve">Obtain a listing of bonds/notes outstanding at the end of the fiscal period and management’s representation that the listing is complete.  Randomly select one bond/note, </w:t>
      </w:r>
      <w:r w:rsidR="00A577A3" w:rsidRPr="009B2EAD">
        <w:rPr>
          <w:rFonts w:ascii="Times New Roman" w:eastAsia="Calibri" w:hAnsi="Times New Roman" w:cs="Times New Roman"/>
          <w:sz w:val="24"/>
          <w:szCs w:val="24"/>
        </w:rPr>
        <w:t xml:space="preserve">inspect debt covenants, </w:t>
      </w:r>
      <w:r w:rsidRPr="009B2EAD">
        <w:rPr>
          <w:rFonts w:ascii="Times New Roman" w:eastAsia="Calibri" w:hAnsi="Times New Roman" w:cs="Times New Roman"/>
          <w:sz w:val="24"/>
          <w:szCs w:val="24"/>
        </w:rPr>
        <w:t>o</w:t>
      </w:r>
      <w:r w:rsidR="00CC19F9" w:rsidRPr="009B2EAD">
        <w:rPr>
          <w:rFonts w:ascii="Times New Roman" w:eastAsia="Calibri" w:hAnsi="Times New Roman" w:cs="Times New Roman"/>
          <w:sz w:val="24"/>
          <w:szCs w:val="24"/>
        </w:rPr>
        <w:t>btain supporting documentation</w:t>
      </w:r>
      <w:r w:rsidR="004D7CF5" w:rsidRPr="009B2EAD">
        <w:rPr>
          <w:rFonts w:ascii="Times New Roman" w:eastAsia="Calibri" w:hAnsi="Times New Roman" w:cs="Times New Roman"/>
          <w:sz w:val="24"/>
          <w:szCs w:val="24"/>
        </w:rPr>
        <w:t xml:space="preserve"> for </w:t>
      </w:r>
      <w:r w:rsidRPr="009B2EAD">
        <w:rPr>
          <w:rFonts w:ascii="Times New Roman" w:eastAsia="Calibri" w:hAnsi="Times New Roman" w:cs="Times New Roman"/>
          <w:sz w:val="24"/>
          <w:szCs w:val="24"/>
        </w:rPr>
        <w:t xml:space="preserve">the </w:t>
      </w:r>
      <w:r w:rsidR="004D7CF5" w:rsidRPr="009B2EAD">
        <w:rPr>
          <w:rFonts w:ascii="Times New Roman" w:eastAsia="Calibri" w:hAnsi="Times New Roman" w:cs="Times New Roman"/>
          <w:sz w:val="24"/>
          <w:szCs w:val="24"/>
        </w:rPr>
        <w:t>reserve</w:t>
      </w:r>
      <w:r w:rsidRPr="009B2EAD">
        <w:rPr>
          <w:rFonts w:ascii="Times New Roman" w:eastAsia="Calibri" w:hAnsi="Times New Roman" w:cs="Times New Roman"/>
          <w:sz w:val="24"/>
          <w:szCs w:val="24"/>
        </w:rPr>
        <w:t xml:space="preserve"> balance</w:t>
      </w:r>
      <w:r w:rsidR="004D7CF5" w:rsidRPr="009B2EAD">
        <w:rPr>
          <w:rFonts w:ascii="Times New Roman" w:eastAsia="Calibri" w:hAnsi="Times New Roman" w:cs="Times New Roman"/>
          <w:sz w:val="24"/>
          <w:szCs w:val="24"/>
        </w:rPr>
        <w:t xml:space="preserve"> and payments</w:t>
      </w:r>
      <w:r w:rsidRPr="009B2EAD">
        <w:rPr>
          <w:rFonts w:ascii="Times New Roman" w:eastAsia="Calibri" w:hAnsi="Times New Roman" w:cs="Times New Roman"/>
          <w:sz w:val="24"/>
          <w:szCs w:val="24"/>
        </w:rPr>
        <w:t>,</w:t>
      </w:r>
      <w:r w:rsidR="004D7CF5" w:rsidRPr="009B2EAD">
        <w:rPr>
          <w:rFonts w:ascii="Times New Roman" w:eastAsia="Calibri" w:hAnsi="Times New Roman" w:cs="Times New Roman"/>
          <w:sz w:val="24"/>
          <w:szCs w:val="24"/>
        </w:rPr>
        <w:t xml:space="preserve"> and agree actual reserve balances and payments to those </w:t>
      </w:r>
      <w:r w:rsidR="00D40DD2" w:rsidRPr="009B2EAD">
        <w:rPr>
          <w:rFonts w:ascii="Times New Roman" w:eastAsia="Calibri" w:hAnsi="Times New Roman" w:cs="Times New Roman"/>
          <w:sz w:val="24"/>
          <w:szCs w:val="24"/>
        </w:rPr>
        <w:t>required by debt covenants</w:t>
      </w:r>
      <w:r w:rsidR="00632BE4">
        <w:rPr>
          <w:rFonts w:ascii="Times New Roman" w:eastAsia="Calibri" w:hAnsi="Times New Roman" w:cs="Times New Roman"/>
          <w:sz w:val="24"/>
          <w:szCs w:val="24"/>
        </w:rPr>
        <w:t xml:space="preserve"> (including contingency funds, short-lived asset funds, or other funds required by the debt covenants)</w:t>
      </w:r>
      <w:r w:rsidR="00DE6ADB" w:rsidRPr="009B2EAD">
        <w:rPr>
          <w:rFonts w:ascii="Times New Roman" w:eastAsia="Calibri" w:hAnsi="Times New Roman" w:cs="Times New Roman"/>
          <w:sz w:val="24"/>
          <w:szCs w:val="24"/>
        </w:rPr>
        <w:t>.</w:t>
      </w:r>
    </w:p>
    <w:p w14:paraId="0946CE26" w14:textId="77777777" w:rsidR="00B734BA" w:rsidRPr="009C283F" w:rsidRDefault="00B734BA" w:rsidP="000213E1">
      <w:pPr>
        <w:spacing w:after="0" w:line="240" w:lineRule="auto"/>
        <w:ind w:left="720"/>
        <w:jc w:val="both"/>
        <w:rPr>
          <w:rFonts w:ascii="Times New Roman" w:hAnsi="Times New Roman" w:cs="Times New Roman"/>
          <w:sz w:val="24"/>
          <w:szCs w:val="24"/>
        </w:rPr>
      </w:pPr>
    </w:p>
    <w:p w14:paraId="7C5F4DEF" w14:textId="77777777" w:rsidR="00281E36" w:rsidRPr="00281E36" w:rsidRDefault="002F2339" w:rsidP="00281E36">
      <w:pPr>
        <w:pBdr>
          <w:bottom w:val="single" w:sz="4" w:space="1" w:color="auto"/>
        </w:pBd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Fraud Notice</w:t>
      </w:r>
    </w:p>
    <w:p w14:paraId="6F3DCAA0" w14:textId="77777777" w:rsidR="00281E36" w:rsidRPr="00281E36" w:rsidRDefault="00281E36" w:rsidP="00281E36">
      <w:pPr>
        <w:spacing w:after="0"/>
        <w:rPr>
          <w:rFonts w:ascii="Times New Roman" w:eastAsia="Calibri" w:hAnsi="Times New Roman" w:cs="Times New Roman"/>
          <w:sz w:val="24"/>
          <w:szCs w:val="24"/>
        </w:rPr>
      </w:pPr>
    </w:p>
    <w:p w14:paraId="30933F42" w14:textId="77777777" w:rsidR="00281E36" w:rsidRPr="009B2EAD" w:rsidRDefault="00D421B0" w:rsidP="00DE0F80">
      <w:pPr>
        <w:numPr>
          <w:ilvl w:val="0"/>
          <w:numId w:val="10"/>
        </w:numPr>
        <w:spacing w:after="120" w:line="240" w:lineRule="auto"/>
        <w:jc w:val="both"/>
        <w:rPr>
          <w:rFonts w:ascii="Times New Roman" w:eastAsia="Calibri" w:hAnsi="Times New Roman" w:cs="Times New Roman"/>
          <w:sz w:val="24"/>
          <w:szCs w:val="24"/>
        </w:rPr>
      </w:pPr>
      <w:r w:rsidRPr="009B2EAD">
        <w:rPr>
          <w:rFonts w:ascii="Times New Roman" w:eastAsia="Calibri" w:hAnsi="Times New Roman" w:cs="Times New Roman"/>
          <w:sz w:val="24"/>
          <w:szCs w:val="24"/>
        </w:rPr>
        <w:t>Obtain a listing of misappropriations of public funds and assets</w:t>
      </w:r>
      <w:r w:rsidR="007C7EE7" w:rsidRPr="009B2EAD">
        <w:rPr>
          <w:rFonts w:ascii="Times New Roman" w:eastAsia="Calibri" w:hAnsi="Times New Roman" w:cs="Times New Roman"/>
          <w:sz w:val="24"/>
          <w:szCs w:val="24"/>
        </w:rPr>
        <w:t xml:space="preserve"> during the fiscal period</w:t>
      </w:r>
      <w:r w:rsidRPr="009B2EAD">
        <w:rPr>
          <w:rFonts w:ascii="Times New Roman" w:eastAsia="Calibri" w:hAnsi="Times New Roman" w:cs="Times New Roman"/>
          <w:sz w:val="24"/>
          <w:szCs w:val="24"/>
        </w:rPr>
        <w:t xml:space="preserve"> and management’s representation that the listing is complete.  Select all misappropriations on the listing, obtain supporting documentation, and observe that the</w:t>
      </w:r>
      <w:r w:rsidR="00180FE2" w:rsidRPr="009B2EAD">
        <w:rPr>
          <w:rFonts w:ascii="Times New Roman" w:eastAsia="Calibri" w:hAnsi="Times New Roman" w:cs="Times New Roman"/>
          <w:sz w:val="24"/>
          <w:szCs w:val="24"/>
        </w:rPr>
        <w:t xml:space="preserve"> entity reported the misappropriation</w:t>
      </w:r>
      <w:r w:rsidR="007C7EE7" w:rsidRPr="009B2EAD">
        <w:rPr>
          <w:rFonts w:ascii="Times New Roman" w:eastAsia="Calibri" w:hAnsi="Times New Roman" w:cs="Times New Roman"/>
          <w:sz w:val="24"/>
          <w:szCs w:val="24"/>
        </w:rPr>
        <w:t>(s)</w:t>
      </w:r>
      <w:r w:rsidR="00180FE2" w:rsidRPr="009B2EAD">
        <w:rPr>
          <w:rFonts w:ascii="Times New Roman" w:eastAsia="Calibri" w:hAnsi="Times New Roman" w:cs="Times New Roman"/>
          <w:sz w:val="24"/>
          <w:szCs w:val="24"/>
        </w:rPr>
        <w:t xml:space="preserve"> </w:t>
      </w:r>
      <w:r w:rsidR="00281E36" w:rsidRPr="009B2EAD">
        <w:rPr>
          <w:rFonts w:ascii="Times New Roman" w:eastAsia="Calibri" w:hAnsi="Times New Roman" w:cs="Times New Roman"/>
          <w:sz w:val="24"/>
          <w:szCs w:val="24"/>
        </w:rPr>
        <w:t xml:space="preserve">to the legislative auditor and the district attorney of the parish in which the </w:t>
      </w:r>
      <w:r w:rsidR="002C4D7A" w:rsidRPr="009B2EAD">
        <w:rPr>
          <w:rFonts w:ascii="Times New Roman" w:eastAsia="Calibri" w:hAnsi="Times New Roman" w:cs="Times New Roman"/>
          <w:sz w:val="24"/>
          <w:szCs w:val="24"/>
        </w:rPr>
        <w:t>entity</w:t>
      </w:r>
      <w:r w:rsidR="00281E36" w:rsidRPr="009B2EAD">
        <w:rPr>
          <w:rFonts w:ascii="Times New Roman" w:eastAsia="Calibri" w:hAnsi="Times New Roman" w:cs="Times New Roman"/>
          <w:sz w:val="24"/>
          <w:szCs w:val="24"/>
        </w:rPr>
        <w:t xml:space="preserve"> is domiciled.</w:t>
      </w:r>
    </w:p>
    <w:p w14:paraId="1BEE8671" w14:textId="4F90C609" w:rsidR="009A5193" w:rsidRDefault="007608B8">
      <w:pPr>
        <w:numPr>
          <w:ilvl w:val="0"/>
          <w:numId w:val="10"/>
        </w:numPr>
        <w:spacing w:after="120" w:line="240" w:lineRule="auto"/>
        <w:jc w:val="both"/>
        <w:rPr>
          <w:rFonts w:ascii="Times New Roman" w:eastAsia="Calibri" w:hAnsi="Times New Roman" w:cs="Times New Roman"/>
          <w:sz w:val="24"/>
          <w:szCs w:val="24"/>
        </w:rPr>
      </w:pPr>
      <w:r w:rsidRPr="009B2EAD">
        <w:rPr>
          <w:rFonts w:ascii="Times New Roman" w:eastAsia="Calibri" w:hAnsi="Times New Roman" w:cs="Times New Roman"/>
          <w:sz w:val="24"/>
          <w:szCs w:val="24"/>
        </w:rPr>
        <w:t xml:space="preserve">Observe the entity </w:t>
      </w:r>
      <w:r w:rsidR="00B53405" w:rsidRPr="009B2EAD">
        <w:rPr>
          <w:rFonts w:ascii="Times New Roman" w:eastAsia="Calibri" w:hAnsi="Times New Roman" w:cs="Times New Roman"/>
          <w:sz w:val="24"/>
          <w:szCs w:val="24"/>
        </w:rPr>
        <w:t>has posted</w:t>
      </w:r>
      <w:r w:rsidR="003F1620">
        <w:rPr>
          <w:rFonts w:ascii="Times New Roman" w:eastAsia="Calibri" w:hAnsi="Times New Roman" w:cs="Times New Roman"/>
          <w:sz w:val="24"/>
          <w:szCs w:val="24"/>
        </w:rPr>
        <w:t>,</w:t>
      </w:r>
      <w:r w:rsidR="00B53405" w:rsidRPr="009B2EAD">
        <w:rPr>
          <w:rFonts w:ascii="Times New Roman" w:eastAsia="Calibri" w:hAnsi="Times New Roman" w:cs="Times New Roman"/>
          <w:sz w:val="24"/>
          <w:szCs w:val="24"/>
        </w:rPr>
        <w:t xml:space="preserve"> on its premises</w:t>
      </w:r>
      <w:r w:rsidR="00DC6DD4" w:rsidRPr="009B2EAD">
        <w:rPr>
          <w:rStyle w:val="FootnoteReference"/>
          <w:sz w:val="24"/>
          <w:szCs w:val="24"/>
        </w:rPr>
        <w:footnoteReference w:id="22"/>
      </w:r>
      <w:r w:rsidR="00040061" w:rsidRPr="009B2EAD">
        <w:rPr>
          <w:rFonts w:ascii="Times New Roman" w:eastAsia="Calibri" w:hAnsi="Times New Roman" w:cs="Times New Roman"/>
          <w:sz w:val="24"/>
          <w:szCs w:val="24"/>
        </w:rPr>
        <w:t xml:space="preserve"> </w:t>
      </w:r>
      <w:r w:rsidR="00B53405" w:rsidRPr="009B2EAD">
        <w:rPr>
          <w:rFonts w:ascii="Times New Roman" w:eastAsia="Calibri" w:hAnsi="Times New Roman" w:cs="Times New Roman"/>
          <w:sz w:val="24"/>
          <w:szCs w:val="24"/>
        </w:rPr>
        <w:t>and website</w:t>
      </w:r>
      <w:r w:rsidR="007C7EE7" w:rsidRPr="009B2EAD">
        <w:rPr>
          <w:rFonts w:ascii="Times New Roman" w:eastAsia="Calibri" w:hAnsi="Times New Roman" w:cs="Times New Roman"/>
          <w:sz w:val="24"/>
          <w:szCs w:val="24"/>
        </w:rPr>
        <w:t>,</w:t>
      </w:r>
      <w:r w:rsidR="00B53405" w:rsidRPr="009B2EAD">
        <w:rPr>
          <w:rFonts w:ascii="Times New Roman" w:eastAsia="Calibri" w:hAnsi="Times New Roman" w:cs="Times New Roman"/>
          <w:sz w:val="24"/>
          <w:szCs w:val="24"/>
        </w:rPr>
        <w:t xml:space="preserve"> the n</w:t>
      </w:r>
      <w:r w:rsidR="00CC2561" w:rsidRPr="009B2EAD">
        <w:rPr>
          <w:rFonts w:ascii="Times New Roman" w:eastAsia="Calibri" w:hAnsi="Times New Roman" w:cs="Times New Roman"/>
          <w:sz w:val="24"/>
          <w:szCs w:val="24"/>
        </w:rPr>
        <w:t>otice required by R.S. 24:523.1 concerning the reporting of misappropriation, fraud, waste, or abuse of public funds.</w:t>
      </w:r>
      <w:r w:rsidR="00CC2561" w:rsidRPr="009B2EAD">
        <w:rPr>
          <w:rStyle w:val="FootnoteReference"/>
          <w:sz w:val="24"/>
          <w:szCs w:val="24"/>
        </w:rPr>
        <w:footnoteReference w:id="23"/>
      </w:r>
    </w:p>
    <w:p w14:paraId="28A8711F" w14:textId="77777777" w:rsidR="002F2339" w:rsidRDefault="002F2339" w:rsidP="002F2339">
      <w:pPr>
        <w:spacing w:after="120" w:line="240" w:lineRule="auto"/>
        <w:jc w:val="both"/>
        <w:rPr>
          <w:rFonts w:ascii="Times New Roman" w:eastAsia="Calibri" w:hAnsi="Times New Roman" w:cs="Times New Roman"/>
          <w:sz w:val="24"/>
          <w:szCs w:val="24"/>
        </w:rPr>
      </w:pPr>
    </w:p>
    <w:p w14:paraId="61088475" w14:textId="77777777" w:rsidR="002F2339" w:rsidRPr="009C283F" w:rsidRDefault="002F2339" w:rsidP="002F2339">
      <w:pPr>
        <w:pBdr>
          <w:bottom w:val="single" w:sz="4" w:space="1" w:color="auto"/>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Information Technology Disaster Recovery/Business Continuity</w:t>
      </w:r>
    </w:p>
    <w:p w14:paraId="1ECE6050" w14:textId="77777777" w:rsidR="002F2339" w:rsidRPr="009C283F" w:rsidRDefault="002F2339" w:rsidP="002F2339">
      <w:pPr>
        <w:spacing w:after="0" w:line="240" w:lineRule="auto"/>
        <w:rPr>
          <w:rFonts w:ascii="Times New Roman" w:eastAsia="Times New Roman" w:hAnsi="Times New Roman" w:cs="Times New Roman"/>
          <w:color w:val="000000"/>
          <w:sz w:val="24"/>
          <w:szCs w:val="24"/>
        </w:rPr>
      </w:pPr>
    </w:p>
    <w:p w14:paraId="6E518E70" w14:textId="77777777" w:rsidR="002F2339" w:rsidRPr="00C51706" w:rsidRDefault="002F2339" w:rsidP="00C51706">
      <w:pPr>
        <w:numPr>
          <w:ilvl w:val="0"/>
          <w:numId w:val="10"/>
        </w:numPr>
        <w:spacing w:after="120" w:line="240" w:lineRule="auto"/>
        <w:jc w:val="both"/>
        <w:rPr>
          <w:rFonts w:ascii="Times New Roman" w:eastAsia="Calibri" w:hAnsi="Times New Roman" w:cs="Times New Roman"/>
          <w:sz w:val="24"/>
          <w:szCs w:val="24"/>
        </w:rPr>
      </w:pPr>
      <w:r w:rsidRPr="00C51706">
        <w:rPr>
          <w:rFonts w:ascii="Times New Roman" w:eastAsia="Calibri" w:hAnsi="Times New Roman" w:cs="Times New Roman"/>
          <w:sz w:val="24"/>
          <w:szCs w:val="24"/>
        </w:rPr>
        <w:t xml:space="preserve">Perform the following procedures, </w:t>
      </w:r>
      <w:r w:rsidRPr="004D05A7">
        <w:rPr>
          <w:rFonts w:ascii="Times New Roman" w:eastAsia="Calibri" w:hAnsi="Times New Roman" w:cs="Times New Roman"/>
          <w:b/>
          <w:sz w:val="24"/>
          <w:szCs w:val="24"/>
        </w:rPr>
        <w:t>verbally discuss the results with management, and</w:t>
      </w:r>
      <w:r w:rsidRPr="00C51706">
        <w:rPr>
          <w:rFonts w:ascii="Times New Roman" w:eastAsia="Calibri" w:hAnsi="Times New Roman" w:cs="Times New Roman"/>
          <w:sz w:val="24"/>
          <w:szCs w:val="24"/>
        </w:rPr>
        <w:t xml:space="preserve"> </w:t>
      </w:r>
      <w:r w:rsidRPr="004D05A7">
        <w:rPr>
          <w:rFonts w:ascii="Times New Roman" w:eastAsia="Calibri" w:hAnsi="Times New Roman" w:cs="Times New Roman"/>
          <w:b/>
          <w:sz w:val="24"/>
          <w:szCs w:val="24"/>
        </w:rPr>
        <w:t>report “</w:t>
      </w:r>
      <w:bookmarkStart w:id="9" w:name="_Hlk78799975"/>
      <w:r w:rsidRPr="004D05A7">
        <w:rPr>
          <w:rFonts w:ascii="Times New Roman" w:eastAsia="Calibri" w:hAnsi="Times New Roman" w:cs="Times New Roman"/>
          <w:b/>
          <w:sz w:val="24"/>
          <w:szCs w:val="24"/>
        </w:rPr>
        <w:t>We performed the procedure and discussed the results with management.”</w:t>
      </w:r>
      <w:bookmarkEnd w:id="9"/>
    </w:p>
    <w:p w14:paraId="49D2536D" w14:textId="77777777" w:rsidR="002F2339" w:rsidRPr="00D17261" w:rsidRDefault="002F2339" w:rsidP="002F2339">
      <w:pPr>
        <w:numPr>
          <w:ilvl w:val="1"/>
          <w:numId w:val="47"/>
        </w:numPr>
        <w:spacing w:line="240" w:lineRule="auto"/>
        <w:jc w:val="both"/>
        <w:rPr>
          <w:rFonts w:ascii="Times New Roman" w:eastAsia="Times New Roman" w:hAnsi="Times New Roman" w:cs="Times New Roman"/>
          <w:sz w:val="24"/>
          <w:szCs w:val="24"/>
        </w:rPr>
      </w:pPr>
      <w:r w:rsidRPr="00D17261">
        <w:rPr>
          <w:rFonts w:ascii="Times New Roman" w:eastAsia="Times New Roman" w:hAnsi="Times New Roman" w:cs="Times New Roman"/>
          <w:sz w:val="24"/>
          <w:szCs w:val="24"/>
        </w:rPr>
        <w:t xml:space="preserve">Obtain and inspect the entity’s most recent documentation that it has backed up its critical data (if no written documentation, inquire of personnel responsible for backing up critical data) and observe that such backup occurred within the past </w:t>
      </w:r>
      <w:r>
        <w:rPr>
          <w:rFonts w:ascii="Times New Roman" w:eastAsia="Times New Roman" w:hAnsi="Times New Roman" w:cs="Times New Roman"/>
          <w:sz w:val="24"/>
          <w:szCs w:val="24"/>
        </w:rPr>
        <w:t>week</w:t>
      </w:r>
      <w:r w:rsidRPr="00D17261">
        <w:rPr>
          <w:rFonts w:ascii="Times New Roman" w:eastAsia="Times New Roman" w:hAnsi="Times New Roman" w:cs="Times New Roman"/>
          <w:sz w:val="24"/>
          <w:szCs w:val="24"/>
        </w:rPr>
        <w:t>.  If backups are stored on a physical medium (e.g., tapes, CDs), observe evidence that backups are encrypted before being transported.</w:t>
      </w:r>
    </w:p>
    <w:p w14:paraId="24D75670" w14:textId="77777777" w:rsidR="002F2339" w:rsidRPr="00D17261" w:rsidRDefault="002F2339" w:rsidP="002F2339">
      <w:pPr>
        <w:numPr>
          <w:ilvl w:val="1"/>
          <w:numId w:val="47"/>
        </w:numPr>
        <w:spacing w:line="240" w:lineRule="auto"/>
        <w:jc w:val="both"/>
        <w:rPr>
          <w:rFonts w:ascii="Times New Roman" w:eastAsia="Times New Roman" w:hAnsi="Times New Roman" w:cs="Times New Roman"/>
          <w:sz w:val="24"/>
          <w:szCs w:val="24"/>
        </w:rPr>
      </w:pPr>
      <w:r w:rsidRPr="00D17261">
        <w:rPr>
          <w:rFonts w:ascii="Times New Roman" w:eastAsia="Times New Roman" w:hAnsi="Times New Roman" w:cs="Times New Roman"/>
          <w:sz w:val="24"/>
          <w:szCs w:val="24"/>
        </w:rPr>
        <w:lastRenderedPageBreak/>
        <w:t xml:space="preserve">Obtain and inspect the entity’s most recent documentation that it has tested/verified that its backups can be restored (if no written documentation, inquire of personnel responsible for testing/verifying backup restoration) and observe evidence that the test/verification was successfully performed within the past </w:t>
      </w:r>
      <w:r>
        <w:rPr>
          <w:rFonts w:ascii="Times New Roman" w:eastAsia="Times New Roman" w:hAnsi="Times New Roman" w:cs="Times New Roman"/>
          <w:sz w:val="24"/>
          <w:szCs w:val="24"/>
        </w:rPr>
        <w:t>3</w:t>
      </w:r>
      <w:r w:rsidRPr="00D17261">
        <w:rPr>
          <w:rFonts w:ascii="Times New Roman" w:eastAsia="Times New Roman" w:hAnsi="Times New Roman" w:cs="Times New Roman"/>
          <w:sz w:val="24"/>
          <w:szCs w:val="24"/>
        </w:rPr>
        <w:t xml:space="preserve"> months.</w:t>
      </w:r>
    </w:p>
    <w:p w14:paraId="741BD85B" w14:textId="03DD61A9" w:rsidR="002F2339" w:rsidRPr="00D17261" w:rsidRDefault="002F2339" w:rsidP="002F2339">
      <w:pPr>
        <w:numPr>
          <w:ilvl w:val="1"/>
          <w:numId w:val="47"/>
        </w:numPr>
        <w:spacing w:line="240" w:lineRule="auto"/>
        <w:jc w:val="both"/>
        <w:rPr>
          <w:rFonts w:ascii="Times New Roman" w:eastAsia="Times New Roman" w:hAnsi="Times New Roman" w:cs="Times New Roman"/>
          <w:sz w:val="24"/>
          <w:szCs w:val="24"/>
        </w:rPr>
      </w:pPr>
      <w:r w:rsidRPr="00D17261">
        <w:rPr>
          <w:rFonts w:ascii="Times New Roman" w:eastAsia="Times New Roman" w:hAnsi="Times New Roman" w:cs="Times New Roman"/>
          <w:sz w:val="24"/>
          <w:szCs w:val="24"/>
        </w:rPr>
        <w:t xml:space="preserve">Obtain a listing of </w:t>
      </w:r>
      <w:r>
        <w:rPr>
          <w:rFonts w:ascii="Times New Roman" w:eastAsia="Times New Roman" w:hAnsi="Times New Roman" w:cs="Times New Roman"/>
          <w:sz w:val="24"/>
          <w:szCs w:val="24"/>
        </w:rPr>
        <w:t xml:space="preserve">the </w:t>
      </w:r>
      <w:r w:rsidRPr="00D17261">
        <w:rPr>
          <w:rFonts w:ascii="Times New Roman" w:eastAsia="Times New Roman" w:hAnsi="Times New Roman" w:cs="Times New Roman"/>
          <w:sz w:val="24"/>
          <w:szCs w:val="24"/>
        </w:rPr>
        <w:t>entity</w:t>
      </w:r>
      <w:r>
        <w:rPr>
          <w:rFonts w:ascii="Times New Roman" w:eastAsia="Times New Roman" w:hAnsi="Times New Roman" w:cs="Times New Roman"/>
          <w:sz w:val="24"/>
          <w:szCs w:val="24"/>
        </w:rPr>
        <w:t>’s</w:t>
      </w:r>
      <w:r w:rsidRPr="00D17261">
        <w:rPr>
          <w:rFonts w:ascii="Times New Roman" w:eastAsia="Times New Roman" w:hAnsi="Times New Roman" w:cs="Times New Roman"/>
          <w:sz w:val="24"/>
          <w:szCs w:val="24"/>
        </w:rPr>
        <w:t xml:space="preserve"> computers currently in use and their related locations</w:t>
      </w:r>
      <w:r>
        <w:rPr>
          <w:rFonts w:ascii="Times New Roman" w:eastAsia="Times New Roman" w:hAnsi="Times New Roman" w:cs="Times New Roman"/>
          <w:sz w:val="24"/>
          <w:szCs w:val="24"/>
        </w:rPr>
        <w:t>,</w:t>
      </w:r>
      <w:r w:rsidRPr="00D17261">
        <w:rPr>
          <w:rFonts w:ascii="Times New Roman" w:eastAsia="Times New Roman" w:hAnsi="Times New Roman" w:cs="Times New Roman"/>
          <w:sz w:val="24"/>
          <w:szCs w:val="24"/>
        </w:rPr>
        <w:t xml:space="preserve"> and management’s representation that the listing is complete.  Randomly select 5 computers and observe</w:t>
      </w:r>
      <w:r>
        <w:rPr>
          <w:rFonts w:ascii="Times New Roman" w:eastAsia="Times New Roman" w:hAnsi="Times New Roman" w:cs="Times New Roman"/>
          <w:sz w:val="24"/>
          <w:szCs w:val="24"/>
        </w:rPr>
        <w:t xml:space="preserve"> while</w:t>
      </w:r>
      <w:r w:rsidRPr="00D17261">
        <w:rPr>
          <w:rFonts w:ascii="Times New Roman" w:eastAsia="Times New Roman" w:hAnsi="Times New Roman" w:cs="Times New Roman"/>
          <w:sz w:val="24"/>
          <w:szCs w:val="24"/>
        </w:rPr>
        <w:t xml:space="preserve"> management demonstrate</w:t>
      </w:r>
      <w:r>
        <w:rPr>
          <w:rFonts w:ascii="Times New Roman" w:eastAsia="Times New Roman" w:hAnsi="Times New Roman" w:cs="Times New Roman"/>
          <w:sz w:val="24"/>
          <w:szCs w:val="24"/>
        </w:rPr>
        <w:t>s</w:t>
      </w:r>
      <w:r w:rsidRPr="00D17261">
        <w:rPr>
          <w:rFonts w:ascii="Times New Roman" w:eastAsia="Times New Roman" w:hAnsi="Times New Roman" w:cs="Times New Roman"/>
          <w:sz w:val="24"/>
          <w:szCs w:val="24"/>
        </w:rPr>
        <w:t xml:space="preserve"> that the selected computers have </w:t>
      </w:r>
      <w:r w:rsidR="0062717A">
        <w:rPr>
          <w:rFonts w:ascii="Times New Roman" w:eastAsia="Times New Roman" w:hAnsi="Times New Roman" w:cs="Times New Roman"/>
          <w:sz w:val="24"/>
          <w:szCs w:val="24"/>
        </w:rPr>
        <w:t xml:space="preserve">current </w:t>
      </w:r>
      <w:r w:rsidR="004618C5">
        <w:rPr>
          <w:rFonts w:ascii="Times New Roman" w:eastAsia="Times New Roman" w:hAnsi="Times New Roman" w:cs="Times New Roman"/>
          <w:sz w:val="24"/>
          <w:szCs w:val="24"/>
        </w:rPr>
        <w:t xml:space="preserve">and </w:t>
      </w:r>
      <w:r w:rsidRPr="00D17261">
        <w:rPr>
          <w:rFonts w:ascii="Times New Roman" w:eastAsia="Times New Roman" w:hAnsi="Times New Roman" w:cs="Times New Roman"/>
          <w:sz w:val="24"/>
          <w:szCs w:val="24"/>
        </w:rPr>
        <w:t>active antivirus software</w:t>
      </w:r>
      <w:r w:rsidR="00C36FD3">
        <w:rPr>
          <w:rFonts w:ascii="Times New Roman" w:eastAsia="Times New Roman" w:hAnsi="Times New Roman" w:cs="Times New Roman"/>
          <w:sz w:val="24"/>
          <w:szCs w:val="24"/>
        </w:rPr>
        <w:t xml:space="preserve"> </w:t>
      </w:r>
      <w:r w:rsidR="00AF10D8">
        <w:rPr>
          <w:rFonts w:ascii="Times New Roman" w:eastAsia="Times New Roman" w:hAnsi="Times New Roman" w:cs="Times New Roman"/>
          <w:sz w:val="24"/>
          <w:szCs w:val="24"/>
        </w:rPr>
        <w:t>a</w:t>
      </w:r>
      <w:r w:rsidRPr="00D17261">
        <w:rPr>
          <w:rFonts w:ascii="Times New Roman" w:eastAsia="Times New Roman" w:hAnsi="Times New Roman" w:cs="Times New Roman"/>
          <w:sz w:val="24"/>
          <w:szCs w:val="24"/>
        </w:rPr>
        <w:t xml:space="preserve">nd that the operating system and accounting </w:t>
      </w:r>
      <w:r>
        <w:rPr>
          <w:rFonts w:ascii="Times New Roman" w:eastAsia="Times New Roman" w:hAnsi="Times New Roman" w:cs="Times New Roman"/>
          <w:sz w:val="24"/>
          <w:szCs w:val="24"/>
        </w:rPr>
        <w:t xml:space="preserve">system software </w:t>
      </w:r>
      <w:r w:rsidR="004618C5">
        <w:rPr>
          <w:rFonts w:ascii="Times New Roman" w:eastAsia="Times New Roman" w:hAnsi="Times New Roman" w:cs="Times New Roman"/>
          <w:sz w:val="24"/>
          <w:szCs w:val="24"/>
        </w:rPr>
        <w:t xml:space="preserve">in use </w:t>
      </w:r>
      <w:r>
        <w:rPr>
          <w:rFonts w:ascii="Times New Roman" w:eastAsia="Times New Roman" w:hAnsi="Times New Roman" w:cs="Times New Roman"/>
          <w:sz w:val="24"/>
          <w:szCs w:val="24"/>
        </w:rPr>
        <w:t>are</w:t>
      </w:r>
      <w:r w:rsidRPr="00D17261">
        <w:rPr>
          <w:rFonts w:ascii="Times New Roman" w:eastAsia="Times New Roman" w:hAnsi="Times New Roman" w:cs="Times New Roman"/>
          <w:sz w:val="24"/>
          <w:szCs w:val="24"/>
        </w:rPr>
        <w:t xml:space="preserve"> </w:t>
      </w:r>
      <w:r w:rsidR="0062717A">
        <w:rPr>
          <w:rFonts w:ascii="Times New Roman" w:eastAsia="Times New Roman" w:hAnsi="Times New Roman" w:cs="Times New Roman"/>
          <w:sz w:val="24"/>
          <w:szCs w:val="24"/>
        </w:rPr>
        <w:t>currently supported by the vendor</w:t>
      </w:r>
      <w:r w:rsidRPr="00D17261">
        <w:rPr>
          <w:rFonts w:ascii="Times New Roman" w:eastAsia="Times New Roman" w:hAnsi="Times New Roman" w:cs="Times New Roman"/>
          <w:sz w:val="24"/>
          <w:szCs w:val="24"/>
        </w:rPr>
        <w:t>.</w:t>
      </w:r>
      <w:r w:rsidR="00AF10D8">
        <w:rPr>
          <w:rFonts w:ascii="Times New Roman" w:eastAsia="Times New Roman" w:hAnsi="Times New Roman" w:cs="Times New Roman"/>
          <w:sz w:val="24"/>
          <w:szCs w:val="24"/>
        </w:rPr>
        <w:t xml:space="preserve"> </w:t>
      </w:r>
    </w:p>
    <w:p w14:paraId="6B481ACF" w14:textId="74283396" w:rsidR="002F2339" w:rsidRPr="004143E6" w:rsidRDefault="002F2339" w:rsidP="002F2339">
      <w:pPr>
        <w:pBdr>
          <w:bottom w:val="single" w:sz="4" w:space="1" w:color="auto"/>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Sexual Harassment</w:t>
      </w:r>
      <w:r w:rsidR="000077F5">
        <w:rPr>
          <w:rStyle w:val="FootnoteReference"/>
          <w:rFonts w:ascii="Times New Roman" w:eastAsia="Times New Roman" w:hAnsi="Times New Roman" w:cs="Times New Roman"/>
          <w:b/>
          <w:i/>
          <w:color w:val="000000"/>
          <w:sz w:val="24"/>
          <w:szCs w:val="24"/>
        </w:rPr>
        <w:footnoteReference w:id="24"/>
      </w:r>
    </w:p>
    <w:p w14:paraId="48396BDD" w14:textId="77777777" w:rsidR="002F2339" w:rsidRPr="004143E6" w:rsidRDefault="002F2339" w:rsidP="002F2339">
      <w:pPr>
        <w:spacing w:after="0" w:line="240" w:lineRule="auto"/>
        <w:rPr>
          <w:rFonts w:ascii="Times New Roman" w:eastAsia="Times New Roman" w:hAnsi="Times New Roman" w:cs="Times New Roman"/>
          <w:color w:val="000000"/>
          <w:sz w:val="24"/>
          <w:szCs w:val="24"/>
        </w:rPr>
      </w:pPr>
    </w:p>
    <w:p w14:paraId="5DEBD014" w14:textId="11880157" w:rsidR="002F2339" w:rsidRPr="004143E6" w:rsidRDefault="002F2339" w:rsidP="00BF42B9">
      <w:pPr>
        <w:numPr>
          <w:ilvl w:val="0"/>
          <w:numId w:val="4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5 randomly selected employees/officials from procedure #16 under “Payroll and Personnel” above</w:t>
      </w:r>
      <w:r w:rsidR="00C51706">
        <w:rPr>
          <w:rFonts w:ascii="Times New Roman" w:eastAsia="Times New Roman" w:hAnsi="Times New Roman" w:cs="Times New Roman"/>
          <w:sz w:val="24"/>
          <w:szCs w:val="24"/>
        </w:rPr>
        <w:t xml:space="preserve">, </w:t>
      </w:r>
      <w:r w:rsidRPr="004143E6">
        <w:rPr>
          <w:rFonts w:ascii="Times New Roman" w:eastAsia="Times New Roman" w:hAnsi="Times New Roman" w:cs="Times New Roman"/>
          <w:sz w:val="24"/>
          <w:szCs w:val="24"/>
        </w:rPr>
        <w:t>obtain sexual harassment training documentation from management, and observe the documentation demonstrates each employee/official completed at least one hour of sexual harassment training during the calendar year.</w:t>
      </w:r>
    </w:p>
    <w:p w14:paraId="3A9A8474" w14:textId="253F56CC" w:rsidR="002F2339" w:rsidRPr="004143E6" w:rsidRDefault="002F2339" w:rsidP="00BF42B9">
      <w:pPr>
        <w:numPr>
          <w:ilvl w:val="0"/>
          <w:numId w:val="48"/>
        </w:numPr>
        <w:spacing w:line="240" w:lineRule="auto"/>
        <w:jc w:val="both"/>
        <w:rPr>
          <w:rFonts w:ascii="Times New Roman" w:eastAsia="Times New Roman" w:hAnsi="Times New Roman" w:cs="Times New Roman"/>
          <w:sz w:val="24"/>
          <w:szCs w:val="24"/>
        </w:rPr>
      </w:pPr>
      <w:r w:rsidRPr="004143E6">
        <w:rPr>
          <w:rFonts w:ascii="Times New Roman" w:eastAsia="Times New Roman" w:hAnsi="Times New Roman" w:cs="Times New Roman"/>
          <w:sz w:val="24"/>
          <w:szCs w:val="24"/>
        </w:rPr>
        <w:t>Observe the entity has posted its sexual harassment policy and complaint procedure on its website (or in a conspicuous location on the entity’s premises if the entity does not have a website).</w:t>
      </w:r>
    </w:p>
    <w:p w14:paraId="12044EF1" w14:textId="28CEEBF8" w:rsidR="00AF10D8" w:rsidRDefault="002F2339" w:rsidP="00BF42B9">
      <w:pPr>
        <w:numPr>
          <w:ilvl w:val="0"/>
          <w:numId w:val="48"/>
        </w:numPr>
        <w:spacing w:line="240" w:lineRule="auto"/>
        <w:jc w:val="both"/>
        <w:rPr>
          <w:rFonts w:ascii="Times New Roman" w:eastAsia="Times New Roman" w:hAnsi="Times New Roman" w:cs="Times New Roman"/>
          <w:sz w:val="24"/>
          <w:szCs w:val="24"/>
        </w:rPr>
      </w:pPr>
      <w:r w:rsidRPr="004143E6">
        <w:rPr>
          <w:rFonts w:ascii="Times New Roman" w:eastAsia="Times New Roman" w:hAnsi="Times New Roman" w:cs="Times New Roman"/>
          <w:sz w:val="24"/>
          <w:szCs w:val="24"/>
        </w:rPr>
        <w:t>Obtain the entity’s annual sexual harassment report for the current fiscal period, observe that the report was dated on or before February 1, and observe it includes the applicable requirements of R.S. 42:344</w:t>
      </w:r>
      <w:r w:rsidR="00AF10D8">
        <w:rPr>
          <w:rFonts w:ascii="Times New Roman" w:eastAsia="Times New Roman" w:hAnsi="Times New Roman" w:cs="Times New Roman"/>
          <w:sz w:val="24"/>
          <w:szCs w:val="24"/>
        </w:rPr>
        <w:t>:</w:t>
      </w:r>
    </w:p>
    <w:p w14:paraId="2204940B" w14:textId="77777777" w:rsidR="00AF10D8" w:rsidRDefault="00AF10D8" w:rsidP="00AF10D8">
      <w:pPr>
        <w:numPr>
          <w:ilvl w:val="1"/>
          <w:numId w:val="4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and percentage of public servants in the agency who have completed the training requirements;</w:t>
      </w:r>
    </w:p>
    <w:p w14:paraId="2D4E4767" w14:textId="77777777" w:rsidR="00AF10D8" w:rsidRDefault="00AF10D8" w:rsidP="00AF10D8">
      <w:pPr>
        <w:numPr>
          <w:ilvl w:val="1"/>
          <w:numId w:val="4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sexual harassment complaints received by the agency;</w:t>
      </w:r>
    </w:p>
    <w:p w14:paraId="5ED9B162" w14:textId="77777777" w:rsidR="00AF10D8" w:rsidRDefault="00AF10D8" w:rsidP="00AF10D8">
      <w:pPr>
        <w:numPr>
          <w:ilvl w:val="1"/>
          <w:numId w:val="4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complaints which resulted in a finding that sexual harassment occurred;</w:t>
      </w:r>
    </w:p>
    <w:p w14:paraId="54D83347" w14:textId="295FD40B" w:rsidR="002F2339" w:rsidRDefault="00AF10D8" w:rsidP="00AF10D8">
      <w:pPr>
        <w:numPr>
          <w:ilvl w:val="1"/>
          <w:numId w:val="4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complaints in which</w:t>
      </w:r>
      <w:r w:rsidR="00C36F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finding of sexual harassment </w:t>
      </w:r>
      <w:r w:rsidR="00F44672">
        <w:rPr>
          <w:rFonts w:ascii="Times New Roman" w:eastAsia="Times New Roman" w:hAnsi="Times New Roman" w:cs="Times New Roman"/>
          <w:sz w:val="24"/>
          <w:szCs w:val="24"/>
        </w:rPr>
        <w:t>resulted in discipline or corrective action; and</w:t>
      </w:r>
    </w:p>
    <w:p w14:paraId="392679E8" w14:textId="3BC8F2F2" w:rsidR="00F44672" w:rsidRDefault="00F44672" w:rsidP="00AF10D8">
      <w:pPr>
        <w:numPr>
          <w:ilvl w:val="1"/>
          <w:numId w:val="4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Amount of time it took to resolve each complaint.</w:t>
      </w:r>
    </w:p>
    <w:p w14:paraId="0533FC2B" w14:textId="77777777" w:rsidR="002F2339" w:rsidRDefault="002F2339" w:rsidP="002F2339">
      <w:pPr>
        <w:spacing w:after="120" w:line="240" w:lineRule="auto"/>
        <w:jc w:val="both"/>
        <w:rPr>
          <w:rFonts w:ascii="Times New Roman" w:eastAsia="Calibri" w:hAnsi="Times New Roman" w:cs="Times New Roman"/>
          <w:sz w:val="24"/>
          <w:szCs w:val="24"/>
        </w:rPr>
      </w:pPr>
    </w:p>
    <w:sectPr w:rsidR="002F2339" w:rsidSect="007D679A">
      <w:headerReference w:type="default" r:id="rId10"/>
      <w:footerReference w:type="default" r:id="rId11"/>
      <w:pgSz w:w="12240" w:h="15840"/>
      <w:pgMar w:top="1973"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C4A2A" w14:textId="77777777" w:rsidR="001454A4" w:rsidRDefault="001454A4" w:rsidP="00CD2DF8">
      <w:pPr>
        <w:spacing w:after="0" w:line="240" w:lineRule="auto"/>
      </w:pPr>
      <w:r>
        <w:separator/>
      </w:r>
    </w:p>
  </w:endnote>
  <w:endnote w:type="continuationSeparator" w:id="0">
    <w:p w14:paraId="67B3B71D" w14:textId="77777777" w:rsidR="001454A4" w:rsidRDefault="001454A4" w:rsidP="00CD2DF8">
      <w:pPr>
        <w:spacing w:after="0" w:line="240" w:lineRule="auto"/>
      </w:pPr>
      <w:r>
        <w:continuationSeparator/>
      </w:r>
    </w:p>
  </w:endnote>
  <w:endnote w:type="continuationNotice" w:id="1">
    <w:p w14:paraId="22AE1A05" w14:textId="77777777" w:rsidR="001454A4" w:rsidRDefault="00145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890704"/>
      <w:docPartObj>
        <w:docPartGallery w:val="Page Numbers (Bottom of Page)"/>
        <w:docPartUnique/>
      </w:docPartObj>
    </w:sdtPr>
    <w:sdtEndPr>
      <w:rPr>
        <w:color w:val="808080" w:themeColor="background1" w:themeShade="80"/>
        <w:spacing w:val="60"/>
      </w:rPr>
    </w:sdtEndPr>
    <w:sdtContent>
      <w:p w14:paraId="00309ED1" w14:textId="77777777" w:rsidR="00BD0A4B" w:rsidRDefault="00BD0A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17</w:t>
        </w:r>
        <w:r>
          <w:rPr>
            <w:noProof/>
          </w:rPr>
          <w:fldChar w:fldCharType="end"/>
        </w:r>
        <w:r>
          <w:t xml:space="preserve"> | </w:t>
        </w:r>
        <w:r>
          <w:rPr>
            <w:color w:val="808080" w:themeColor="background1" w:themeShade="80"/>
            <w:spacing w:val="60"/>
          </w:rPr>
          <w:t>Page</w:t>
        </w:r>
      </w:p>
    </w:sdtContent>
  </w:sdt>
  <w:p w14:paraId="64495B71" w14:textId="635B5925" w:rsidR="00BD0A4B" w:rsidRPr="00C72C8C" w:rsidRDefault="00BD0A4B">
    <w:pPr>
      <w:pStyle w:val="Footer"/>
      <w:rPr>
        <w:i/>
      </w:rPr>
    </w:pPr>
    <w:r>
      <w:rPr>
        <w:i/>
      </w:rPr>
      <w:t xml:space="preserve">Last Updated:  </w:t>
    </w:r>
    <w:r w:rsidR="00B55B4C">
      <w:rPr>
        <w:i/>
      </w:rPr>
      <w:t>July 12,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9E06B" w14:textId="77777777" w:rsidR="001454A4" w:rsidRDefault="001454A4" w:rsidP="00CD2DF8">
      <w:pPr>
        <w:spacing w:after="0" w:line="240" w:lineRule="auto"/>
      </w:pPr>
      <w:r>
        <w:separator/>
      </w:r>
    </w:p>
  </w:footnote>
  <w:footnote w:type="continuationSeparator" w:id="0">
    <w:p w14:paraId="35320254" w14:textId="77777777" w:rsidR="001454A4" w:rsidRDefault="001454A4" w:rsidP="00CD2DF8">
      <w:pPr>
        <w:spacing w:after="0" w:line="240" w:lineRule="auto"/>
      </w:pPr>
      <w:r>
        <w:continuationSeparator/>
      </w:r>
    </w:p>
  </w:footnote>
  <w:footnote w:type="continuationNotice" w:id="1">
    <w:p w14:paraId="6534B391" w14:textId="77777777" w:rsidR="001454A4" w:rsidRDefault="001454A4">
      <w:pPr>
        <w:spacing w:after="0" w:line="240" w:lineRule="auto"/>
      </w:pPr>
    </w:p>
  </w:footnote>
  <w:footnote w:id="2">
    <w:p w14:paraId="2B7A984A" w14:textId="5FF130E9" w:rsidR="00BD0A4B" w:rsidRDefault="00BD0A4B">
      <w:pPr>
        <w:pStyle w:val="FootnoteText"/>
      </w:pPr>
      <w:r>
        <w:rPr>
          <w:rStyle w:val="FootnoteReference"/>
        </w:rPr>
        <w:footnoteRef/>
      </w:r>
      <w:r>
        <w:t xml:space="preserve"> </w:t>
      </w:r>
      <w:r w:rsidRPr="0096411C">
        <w:rPr>
          <w:rFonts w:ascii="Times New Roman" w:hAnsi="Times New Roman"/>
          <w:sz w:val="16"/>
          <w:szCs w:val="16"/>
        </w:rPr>
        <w:t>R.S. 24:511-24:559</w:t>
      </w:r>
    </w:p>
  </w:footnote>
  <w:footnote w:id="3">
    <w:p w14:paraId="4512F898" w14:textId="02C70F60" w:rsidR="00BD0A4B" w:rsidRDefault="00BD0A4B">
      <w:pPr>
        <w:pStyle w:val="FootnoteText"/>
      </w:pPr>
      <w:r>
        <w:rPr>
          <w:rStyle w:val="FootnoteReference"/>
        </w:rPr>
        <w:footnoteRef/>
      </w:r>
      <w:r>
        <w:t xml:space="preserve"> </w:t>
      </w:r>
      <w:r w:rsidRPr="00845BF4">
        <w:rPr>
          <w:rFonts w:ascii="Times New Roman" w:hAnsi="Times New Roman"/>
          <w:sz w:val="16"/>
          <w:szCs w:val="16"/>
        </w:rPr>
        <w:t>Article 7, Section 14 of the Louisiana Constitution prohibits the loan, pledge, or donation of funds, credit, property, or things of value (e.g. cash advances or non-business purchases, regardless of whether they were reimbursed)</w:t>
      </w:r>
      <w:r>
        <w:rPr>
          <w:rFonts w:ascii="Times New Roman" w:hAnsi="Times New Roman"/>
          <w:sz w:val="16"/>
          <w:szCs w:val="16"/>
        </w:rPr>
        <w:t>.</w:t>
      </w:r>
    </w:p>
  </w:footnote>
  <w:footnote w:id="4">
    <w:p w14:paraId="03D7A834" w14:textId="77777777" w:rsidR="00BD0A4B" w:rsidRDefault="00BD0A4B">
      <w:pPr>
        <w:pStyle w:val="FootnoteText"/>
      </w:pPr>
      <w:r>
        <w:rPr>
          <w:rStyle w:val="FootnoteReference"/>
        </w:rPr>
        <w:footnoteRef/>
      </w:r>
      <w:r w:rsidRPr="00E574CA">
        <w:rPr>
          <w:rFonts w:ascii="Times New Roman" w:hAnsi="Times New Roman" w:cs="Times New Roman"/>
          <w:sz w:val="16"/>
          <w:szCs w:val="16"/>
        </w:rPr>
        <w:t xml:space="preserve"> This exclusion would also apply to procedure #7a below.</w:t>
      </w:r>
    </w:p>
  </w:footnote>
  <w:footnote w:id="5">
    <w:p w14:paraId="035C8339" w14:textId="1582606A" w:rsidR="00BD0A4B" w:rsidRDefault="00BD0A4B">
      <w:pPr>
        <w:pStyle w:val="FootnoteText"/>
      </w:pPr>
      <w:r>
        <w:rPr>
          <w:rStyle w:val="FootnoteReference"/>
        </w:rPr>
        <w:footnoteRef/>
      </w:r>
      <w:r>
        <w:t xml:space="preserve"> </w:t>
      </w:r>
      <w:r w:rsidRPr="0077055E">
        <w:rPr>
          <w:rFonts w:ascii="Times New Roman" w:eastAsia="Times New Roman" w:hAnsi="Times New Roman" w:cs="Times New Roman"/>
          <w:i/>
          <w:sz w:val="16"/>
          <w:szCs w:val="16"/>
        </w:rPr>
        <w:t>For governmental organization</w:t>
      </w:r>
      <w:r>
        <w:rPr>
          <w:rFonts w:ascii="Times New Roman" w:eastAsia="Times New Roman" w:hAnsi="Times New Roman" w:cs="Times New Roman"/>
          <w:i/>
          <w:sz w:val="16"/>
          <w:szCs w:val="16"/>
        </w:rPr>
        <w:t>s</w:t>
      </w:r>
      <w:r w:rsidRPr="0077055E">
        <w:rPr>
          <w:rFonts w:ascii="Times New Roman" w:eastAsia="Times New Roman" w:hAnsi="Times New Roman" w:cs="Times New Roman"/>
          <w:i/>
          <w:sz w:val="16"/>
          <w:szCs w:val="16"/>
        </w:rPr>
        <w:t>, the practitioner may eliminate those categories and subcateg</w:t>
      </w:r>
      <w:r>
        <w:rPr>
          <w:rFonts w:ascii="Times New Roman" w:eastAsia="Times New Roman" w:hAnsi="Times New Roman" w:cs="Times New Roman"/>
          <w:i/>
          <w:sz w:val="16"/>
          <w:szCs w:val="16"/>
        </w:rPr>
        <w:t>ories not appl</w:t>
      </w:r>
      <w:r w:rsidR="00A5492D">
        <w:rPr>
          <w:rFonts w:ascii="Times New Roman" w:eastAsia="Times New Roman" w:hAnsi="Times New Roman" w:cs="Times New Roman"/>
          <w:i/>
          <w:sz w:val="16"/>
          <w:szCs w:val="16"/>
        </w:rPr>
        <w:t>icable</w:t>
      </w:r>
      <w:r>
        <w:rPr>
          <w:rFonts w:ascii="Times New Roman" w:eastAsia="Times New Roman" w:hAnsi="Times New Roman" w:cs="Times New Roman"/>
          <w:i/>
          <w:sz w:val="16"/>
          <w:szCs w:val="16"/>
        </w:rPr>
        <w:t xml:space="preserve"> to the organization</w:t>
      </w:r>
      <w:r w:rsidRPr="0077055E">
        <w:rPr>
          <w:rFonts w:ascii="Times New Roman" w:eastAsia="Times New Roman" w:hAnsi="Times New Roman" w:cs="Times New Roman"/>
          <w:i/>
          <w:sz w:val="16"/>
          <w:szCs w:val="16"/>
        </w:rPr>
        <w:t xml:space="preserve">’s operations.  For quasi-public organizations, including </w:t>
      </w:r>
      <w:r>
        <w:rPr>
          <w:rFonts w:ascii="Times New Roman" w:eastAsia="Times New Roman" w:hAnsi="Times New Roman" w:cs="Times New Roman"/>
          <w:i/>
          <w:sz w:val="16"/>
          <w:szCs w:val="16"/>
        </w:rPr>
        <w:t>nonprofit</w:t>
      </w:r>
      <w:r w:rsidRPr="0077055E">
        <w:rPr>
          <w:rFonts w:ascii="Times New Roman" w:eastAsia="Times New Roman" w:hAnsi="Times New Roman" w:cs="Times New Roman"/>
          <w:i/>
          <w:sz w:val="16"/>
          <w:szCs w:val="16"/>
        </w:rPr>
        <w:t>s, the practitioner may eliminate those categories and subcategories not appl</w:t>
      </w:r>
      <w:r w:rsidR="00A5492D">
        <w:rPr>
          <w:rFonts w:ascii="Times New Roman" w:eastAsia="Times New Roman" w:hAnsi="Times New Roman" w:cs="Times New Roman"/>
          <w:i/>
          <w:sz w:val="16"/>
          <w:szCs w:val="16"/>
        </w:rPr>
        <w:t>icable</w:t>
      </w:r>
      <w:r w:rsidRPr="0077055E">
        <w:rPr>
          <w:rFonts w:ascii="Times New Roman" w:eastAsia="Times New Roman" w:hAnsi="Times New Roman" w:cs="Times New Roman"/>
          <w:i/>
          <w:sz w:val="16"/>
          <w:szCs w:val="16"/>
        </w:rPr>
        <w:t xml:space="preserve"> to public funds administered by the quasi-public</w:t>
      </w:r>
      <w:r w:rsidRPr="0077055E">
        <w:rPr>
          <w:rFonts w:ascii="Times New Roman" w:eastAsia="Times New Roman" w:hAnsi="Times New Roman" w:cs="Times New Roman"/>
          <w:sz w:val="16"/>
          <w:szCs w:val="16"/>
        </w:rPr>
        <w:t>.</w:t>
      </w:r>
    </w:p>
  </w:footnote>
  <w:footnote w:id="6">
    <w:p w14:paraId="0F22DB41" w14:textId="2B4B853E" w:rsidR="00BD0A4B" w:rsidRDefault="00BD0A4B">
      <w:pPr>
        <w:pStyle w:val="FootnoteText"/>
      </w:pPr>
      <w:r>
        <w:rPr>
          <w:rStyle w:val="FootnoteReference"/>
        </w:rPr>
        <w:footnoteRef/>
      </w:r>
      <w:r>
        <w:t xml:space="preserve"> </w:t>
      </w:r>
      <w:r w:rsidRPr="00171F23">
        <w:rPr>
          <w:rFonts w:ascii="Times New Roman" w:hAnsi="Times New Roman" w:cs="Times New Roman"/>
          <w:sz w:val="16"/>
          <w:szCs w:val="16"/>
        </w:rPr>
        <w:t xml:space="preserve">The Louisiana Code of Ethics is generally not applicable to </w:t>
      </w:r>
      <w:r>
        <w:rPr>
          <w:rFonts w:ascii="Times New Roman" w:hAnsi="Times New Roman" w:cs="Times New Roman"/>
          <w:sz w:val="16"/>
          <w:szCs w:val="16"/>
        </w:rPr>
        <w:t>nonprofit</w:t>
      </w:r>
      <w:r w:rsidRPr="00171F23">
        <w:rPr>
          <w:rFonts w:ascii="Times New Roman" w:hAnsi="Times New Roman" w:cs="Times New Roman"/>
          <w:sz w:val="16"/>
          <w:szCs w:val="16"/>
        </w:rPr>
        <w:t xml:space="preserve"> entities but may be applicable in certain situations, such as councils on aging.  If ethics is applicabl</w:t>
      </w:r>
      <w:r>
        <w:rPr>
          <w:rFonts w:ascii="Times New Roman" w:hAnsi="Times New Roman" w:cs="Times New Roman"/>
          <w:sz w:val="16"/>
          <w:szCs w:val="16"/>
        </w:rPr>
        <w:t>e to a nonprofit, the nonprofit should have written policies and procedures relating to ethics.</w:t>
      </w:r>
    </w:p>
  </w:footnote>
  <w:footnote w:id="7">
    <w:p w14:paraId="47421345" w14:textId="5AD86514" w:rsidR="00BD0A4B" w:rsidRDefault="00BD0A4B">
      <w:pPr>
        <w:pStyle w:val="FootnoteText"/>
      </w:pPr>
      <w:r>
        <w:rPr>
          <w:rStyle w:val="FootnoteReference"/>
        </w:rPr>
        <w:footnoteRef/>
      </w:r>
      <w:r>
        <w:t xml:space="preserve"> </w:t>
      </w:r>
      <w:r w:rsidRPr="00EE1BCA">
        <w:rPr>
          <w:rFonts w:ascii="Times New Roman" w:hAnsi="Times New Roman" w:cs="Times New Roman"/>
          <w:sz w:val="16"/>
          <w:szCs w:val="16"/>
        </w:rPr>
        <w:t xml:space="preserve">These procedures are not applicable to entities managed by a single elected official, such as </w:t>
      </w:r>
      <w:r>
        <w:rPr>
          <w:rFonts w:ascii="Times New Roman" w:hAnsi="Times New Roman" w:cs="Times New Roman"/>
          <w:sz w:val="16"/>
          <w:szCs w:val="16"/>
        </w:rPr>
        <w:t xml:space="preserve">a </w:t>
      </w:r>
      <w:r w:rsidRPr="00EE1BCA">
        <w:rPr>
          <w:rFonts w:ascii="Times New Roman" w:hAnsi="Times New Roman" w:cs="Times New Roman"/>
          <w:sz w:val="16"/>
          <w:szCs w:val="16"/>
        </w:rPr>
        <w:t>sheriff or assessor.</w:t>
      </w:r>
    </w:p>
  </w:footnote>
  <w:footnote w:id="8">
    <w:p w14:paraId="745F3675" w14:textId="77777777" w:rsidR="00BD0A4B" w:rsidRDefault="00BD0A4B" w:rsidP="00425BD7">
      <w:pPr>
        <w:pStyle w:val="FootnoteText"/>
      </w:pPr>
      <w:r w:rsidRPr="00DA3E94">
        <w:rPr>
          <w:rStyle w:val="FootnoteReference"/>
        </w:rPr>
        <w:footnoteRef/>
      </w:r>
      <w:r w:rsidRPr="0096411C">
        <w:rPr>
          <w:rFonts w:ascii="Times New Roman" w:hAnsi="Times New Roman" w:cs="Times New Roman"/>
          <w:sz w:val="16"/>
          <w:szCs w:val="16"/>
        </w:rPr>
        <w:t>Proprietary and special revenue funds are defined under GASB standards.  The related procedure addresses these funds as a way to verify that boards are provided with financial information necessary to make informed decisions about entity operations, including proprietary and special revenue operations that are not required to be budgeted under the Local Government Budget Act.</w:t>
      </w:r>
    </w:p>
    <w:p w14:paraId="03B91241" w14:textId="77777777" w:rsidR="00BD0A4B" w:rsidRDefault="00BD0A4B" w:rsidP="00425BD7">
      <w:pPr>
        <w:pStyle w:val="FootnoteText"/>
      </w:pPr>
    </w:p>
  </w:footnote>
  <w:footnote w:id="9">
    <w:p w14:paraId="7C193325" w14:textId="5A8BD5FE" w:rsidR="00BD0A4B" w:rsidRDefault="00BD0A4B" w:rsidP="00425BD7">
      <w:pPr>
        <w:pStyle w:val="FootnoteText"/>
      </w:pPr>
      <w:r>
        <w:rPr>
          <w:rStyle w:val="FootnoteReference"/>
        </w:rPr>
        <w:footnoteRef/>
      </w:r>
      <w:r>
        <w:t xml:space="preserve"> </w:t>
      </w:r>
      <w:bookmarkStart w:id="6" w:name="_Hlk80104480"/>
      <w:r w:rsidRPr="00824EC6">
        <w:rPr>
          <w:rFonts w:ascii="Times New Roman" w:hAnsi="Times New Roman" w:cs="Times New Roman"/>
          <w:sz w:val="16"/>
          <w:szCs w:val="16"/>
        </w:rPr>
        <w:t>R.S. 24:513 (A)(1)(b)(iv)</w:t>
      </w:r>
      <w:bookmarkEnd w:id="6"/>
      <w:r>
        <w:rPr>
          <w:rFonts w:ascii="Times New Roman" w:hAnsi="Times New Roman" w:cs="Times New Roman"/>
          <w:sz w:val="16"/>
          <w:szCs w:val="16"/>
        </w:rPr>
        <w:t xml:space="preserve"> defines public funds.</w:t>
      </w:r>
    </w:p>
  </w:footnote>
  <w:footnote w:id="10">
    <w:p w14:paraId="4D4A7DF1" w14:textId="77777777" w:rsidR="00BD0A4B" w:rsidRDefault="00BD0A4B">
      <w:pPr>
        <w:pStyle w:val="FootnoteText"/>
      </w:pPr>
      <w:r>
        <w:rPr>
          <w:rStyle w:val="FootnoteReference"/>
        </w:rPr>
        <w:footnoteRef/>
      </w:r>
      <w:r>
        <w:t xml:space="preserve"> </w:t>
      </w:r>
      <w:r w:rsidRPr="00AB76D8">
        <w:rPr>
          <w:rFonts w:ascii="Times New Roman" w:hAnsi="Times New Roman" w:cs="Times New Roman"/>
          <w:sz w:val="16"/>
          <w:szCs w:val="16"/>
        </w:rPr>
        <w:t xml:space="preserve">Accounts selected may exclude </w:t>
      </w:r>
      <w:r>
        <w:rPr>
          <w:rFonts w:ascii="Times New Roman" w:hAnsi="Times New Roman" w:cs="Times New Roman"/>
          <w:sz w:val="16"/>
          <w:szCs w:val="16"/>
        </w:rPr>
        <w:t xml:space="preserve">savings and </w:t>
      </w:r>
      <w:r w:rsidRPr="00AB76D8">
        <w:rPr>
          <w:rFonts w:ascii="Times New Roman" w:hAnsi="Times New Roman" w:cs="Times New Roman"/>
          <w:sz w:val="16"/>
          <w:szCs w:val="16"/>
        </w:rPr>
        <w:t>investment accounts</w:t>
      </w:r>
      <w:r>
        <w:rPr>
          <w:rFonts w:ascii="Times New Roman" w:hAnsi="Times New Roman" w:cs="Times New Roman"/>
          <w:sz w:val="16"/>
          <w:szCs w:val="16"/>
        </w:rPr>
        <w:t xml:space="preserve"> that are not part of the entity’s daily business operations.</w:t>
      </w:r>
    </w:p>
  </w:footnote>
  <w:footnote w:id="11">
    <w:p w14:paraId="3DCE67F5" w14:textId="77777777" w:rsidR="00BD0A4B" w:rsidRPr="006522CB" w:rsidRDefault="00BD0A4B">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The C</w:t>
      </w:r>
      <w:r w:rsidRPr="006522CB">
        <w:rPr>
          <w:rFonts w:ascii="Times New Roman" w:hAnsi="Times New Roman" w:cs="Times New Roman"/>
          <w:sz w:val="16"/>
          <w:szCs w:val="16"/>
        </w:rPr>
        <w:t>ollections</w:t>
      </w:r>
      <w:r>
        <w:rPr>
          <w:rFonts w:ascii="Times New Roman" w:hAnsi="Times New Roman" w:cs="Times New Roman"/>
          <w:sz w:val="16"/>
          <w:szCs w:val="16"/>
        </w:rPr>
        <w:t xml:space="preserve"> category is not required to be tested if the entity has a third party contractor performing all collection functions (i.e., receiving collections, preparing deposits, and making deposits).</w:t>
      </w:r>
    </w:p>
  </w:footnote>
  <w:footnote w:id="12">
    <w:p w14:paraId="327700F0" w14:textId="77777777" w:rsidR="00BD0A4B" w:rsidRDefault="00BD0A4B">
      <w:pPr>
        <w:pStyle w:val="FootnoteText"/>
      </w:pPr>
      <w:r>
        <w:rPr>
          <w:rStyle w:val="FootnoteReference"/>
        </w:rPr>
        <w:footnoteRef/>
      </w:r>
      <w:r w:rsidRPr="0006204B">
        <w:rPr>
          <w:rFonts w:ascii="Times New Roman" w:hAnsi="Times New Roman" w:cs="Times New Roman"/>
          <w:sz w:val="16"/>
          <w:szCs w:val="16"/>
        </w:rPr>
        <w:t xml:space="preserve"> A deposit site is a physical location where a deposit is prepared and reconciled.</w:t>
      </w:r>
    </w:p>
  </w:footnote>
  <w:footnote w:id="13">
    <w:p w14:paraId="1A6BD659" w14:textId="408A47E4" w:rsidR="00BD0A4B" w:rsidRPr="006C5E09" w:rsidRDefault="00BD0A4B">
      <w:pPr>
        <w:pStyle w:val="FootnoteText"/>
        <w:rPr>
          <w:rFonts w:ascii="Times New Roman" w:hAnsi="Times New Roman" w:cs="Times New Roman"/>
          <w:sz w:val="16"/>
          <w:szCs w:val="16"/>
        </w:rPr>
      </w:pPr>
      <w:r>
        <w:rPr>
          <w:rStyle w:val="FootnoteReference"/>
        </w:rPr>
        <w:footnoteRef/>
      </w:r>
      <w:r>
        <w:rPr>
          <w:rFonts w:ascii="Times New Roman" w:hAnsi="Times New Roman" w:cs="Times New Roman"/>
          <w:sz w:val="16"/>
          <w:szCs w:val="16"/>
        </w:rPr>
        <w:t xml:space="preserve"> A collection location is a physical location where cash is collected.  An entity may have one or more collection locations whose collections are brought to a deposit site for deposit. For example, in a school district a collection location may be a classroom and a deposit site may be the school office.</w:t>
      </w:r>
    </w:p>
  </w:footnote>
  <w:footnote w:id="14">
    <w:p w14:paraId="360AE209" w14:textId="271E9E37" w:rsidR="00BD0A4B" w:rsidRDefault="00BD0A4B">
      <w:pPr>
        <w:pStyle w:val="FootnoteText"/>
      </w:pPr>
      <w:r>
        <w:rPr>
          <w:rStyle w:val="FootnoteReference"/>
        </w:rPr>
        <w:footnoteRef/>
      </w:r>
      <w:r>
        <w:t xml:space="preserve"> </w:t>
      </w:r>
      <w:r w:rsidRPr="00632BE4">
        <w:rPr>
          <w:rFonts w:ascii="Times New Roman" w:hAnsi="Times New Roman" w:cs="Times New Roman"/>
          <w:sz w:val="16"/>
          <w:szCs w:val="16"/>
        </w:rPr>
        <w:t>Including cards used by school staff for either school operations or student activity fund operations</w:t>
      </w:r>
      <w:r>
        <w:rPr>
          <w:rFonts w:ascii="Times New Roman" w:hAnsi="Times New Roman" w:cs="Times New Roman"/>
          <w:sz w:val="16"/>
          <w:szCs w:val="16"/>
        </w:rPr>
        <w:t>.</w:t>
      </w:r>
    </w:p>
  </w:footnote>
  <w:footnote w:id="15">
    <w:p w14:paraId="5A8E349B" w14:textId="77777777" w:rsidR="00BD0A4B" w:rsidRDefault="00BD0A4B">
      <w:pPr>
        <w:pStyle w:val="FootnoteText"/>
      </w:pPr>
      <w:r>
        <w:rPr>
          <w:rStyle w:val="FootnoteReference"/>
        </w:rPr>
        <w:footnoteRef/>
      </w:r>
      <w:r>
        <w:t xml:space="preserve"> </w:t>
      </w:r>
      <w:r w:rsidRPr="00140694">
        <w:rPr>
          <w:rFonts w:ascii="Times New Roman" w:hAnsi="Times New Roman" w:cs="Times New Roman"/>
          <w:sz w:val="16"/>
          <w:szCs w:val="16"/>
        </w:rPr>
        <w:t>For example</w:t>
      </w:r>
      <w:r>
        <w:rPr>
          <w:rFonts w:ascii="Times New Roman" w:hAnsi="Times New Roman" w:cs="Times New Roman"/>
          <w:sz w:val="16"/>
          <w:szCs w:val="16"/>
        </w:rPr>
        <w:t>, if 3 of the 5 cards selected were fuel cards, only 10 transactions would be selected for each of the 2 credit cards.  Conceivably, if all 5 cards randomly selected under procedure #12 were fuel cards, Procedure #13 would not be applicable.</w:t>
      </w:r>
    </w:p>
  </w:footnote>
  <w:footnote w:id="16">
    <w:p w14:paraId="1C850723" w14:textId="77777777" w:rsidR="00BD0A4B" w:rsidRDefault="00BD0A4B">
      <w:pPr>
        <w:pStyle w:val="FootnoteText"/>
      </w:pPr>
      <w:r>
        <w:rPr>
          <w:rStyle w:val="FootnoteReference"/>
        </w:rPr>
        <w:footnoteRef/>
      </w:r>
      <w:r w:rsidRPr="0064082D">
        <w:rPr>
          <w:rFonts w:ascii="Times New Roman" w:hAnsi="Times New Roman" w:cs="Times New Roman"/>
          <w:sz w:val="16"/>
          <w:szCs w:val="16"/>
        </w:rPr>
        <w:t xml:space="preserve"> Non-travel reimbursements are not required to be tested under this category.</w:t>
      </w:r>
    </w:p>
  </w:footnote>
  <w:footnote w:id="17">
    <w:p w14:paraId="366F819D" w14:textId="77777777" w:rsidR="00BD0A4B" w:rsidRPr="00FF1AE2" w:rsidRDefault="00BD0A4B">
      <w:pPr>
        <w:pStyle w:val="FootnoteText"/>
        <w:rPr>
          <w:rFonts w:ascii="Times New Roman" w:hAnsi="Times New Roman" w:cs="Times New Roman"/>
          <w:sz w:val="16"/>
          <w:szCs w:val="16"/>
        </w:rPr>
      </w:pPr>
      <w:r>
        <w:rPr>
          <w:rStyle w:val="FootnoteReference"/>
        </w:rPr>
        <w:footnoteRef/>
      </w:r>
      <w:r>
        <w:t xml:space="preserve"> </w:t>
      </w:r>
      <w:r w:rsidRPr="00FF1AE2">
        <w:rPr>
          <w:rFonts w:ascii="Times New Roman" w:hAnsi="Times New Roman" w:cs="Times New Roman"/>
          <w:sz w:val="16"/>
          <w:szCs w:val="16"/>
        </w:rPr>
        <w:t>If the entity has adopted the state Procurement Code</w:t>
      </w:r>
      <w:r>
        <w:rPr>
          <w:rFonts w:ascii="Times New Roman" w:hAnsi="Times New Roman" w:cs="Times New Roman"/>
          <w:sz w:val="16"/>
          <w:szCs w:val="16"/>
        </w:rPr>
        <w:t>, replace “Louisiana Public Bid Law” with “Louisiana Procurement Code.”</w:t>
      </w:r>
    </w:p>
  </w:footnote>
  <w:footnote w:id="18">
    <w:p w14:paraId="6ECC2AD7" w14:textId="77777777" w:rsidR="00BD0A4B" w:rsidRPr="002F2339" w:rsidRDefault="00BD0A4B">
      <w:pPr>
        <w:pStyle w:val="FootnoteText"/>
        <w:rPr>
          <w:rFonts w:ascii="Times New Roman" w:hAnsi="Times New Roman" w:cs="Times New Roman"/>
          <w:sz w:val="16"/>
          <w:szCs w:val="16"/>
        </w:rPr>
      </w:pPr>
      <w:r w:rsidRPr="002F2339">
        <w:rPr>
          <w:rStyle w:val="FootnoteReference"/>
          <w:rFonts w:ascii="Times New Roman" w:hAnsi="Times New Roman" w:cs="Times New Roman"/>
          <w:sz w:val="16"/>
          <w:szCs w:val="16"/>
        </w:rPr>
        <w:footnoteRef/>
      </w:r>
      <w:r w:rsidRPr="002F2339">
        <w:rPr>
          <w:rFonts w:ascii="Times New Roman" w:hAnsi="Times New Roman" w:cs="Times New Roman"/>
          <w:sz w:val="16"/>
          <w:szCs w:val="16"/>
        </w:rPr>
        <w:t xml:space="preserve"> </w:t>
      </w:r>
      <w:r>
        <w:rPr>
          <w:rFonts w:ascii="Times New Roman" w:hAnsi="Times New Roman" w:cs="Times New Roman"/>
          <w:sz w:val="16"/>
          <w:szCs w:val="16"/>
        </w:rPr>
        <w:t>“Officials” would include those elected, as well as board members who are appointed.</w:t>
      </w:r>
    </w:p>
  </w:footnote>
  <w:footnote w:id="19">
    <w:p w14:paraId="29946CE6" w14:textId="77777777" w:rsidR="00BD0A4B" w:rsidRPr="00653098" w:rsidRDefault="00BD0A4B">
      <w:pPr>
        <w:pStyle w:val="FootnoteText"/>
        <w:rPr>
          <w:rFonts w:ascii="Times New Roman" w:hAnsi="Times New Roman" w:cs="Times New Roman"/>
          <w:sz w:val="16"/>
          <w:szCs w:val="16"/>
        </w:rPr>
      </w:pPr>
      <w:r w:rsidRPr="00653098">
        <w:rPr>
          <w:rStyle w:val="FootnoteReference"/>
          <w:rFonts w:ascii="Times New Roman" w:hAnsi="Times New Roman" w:cs="Times New Roman"/>
          <w:sz w:val="16"/>
          <w:szCs w:val="16"/>
        </w:rPr>
        <w:footnoteRef/>
      </w:r>
      <w:r w:rsidRPr="00653098">
        <w:rPr>
          <w:rFonts w:ascii="Times New Roman" w:hAnsi="Times New Roman" w:cs="Times New Roman"/>
          <w:sz w:val="16"/>
          <w:szCs w:val="16"/>
        </w:rPr>
        <w:t xml:space="preserve"> “Officials” would </w:t>
      </w:r>
      <w:r>
        <w:rPr>
          <w:rFonts w:ascii="Times New Roman" w:hAnsi="Times New Roman" w:cs="Times New Roman"/>
          <w:sz w:val="16"/>
          <w:szCs w:val="16"/>
        </w:rPr>
        <w:t>include those elected, as well as board members who are appointed.</w:t>
      </w:r>
    </w:p>
  </w:footnote>
  <w:footnote w:id="20">
    <w:p w14:paraId="3E227185" w14:textId="1A6E17B9" w:rsidR="00BD0A4B" w:rsidRDefault="00BD0A4B">
      <w:pPr>
        <w:pStyle w:val="FootnoteText"/>
      </w:pPr>
      <w:r>
        <w:rPr>
          <w:rStyle w:val="FootnoteReference"/>
        </w:rPr>
        <w:footnoteRef/>
      </w:r>
      <w:r>
        <w:t xml:space="preserve"> </w:t>
      </w:r>
      <w:r w:rsidRPr="00171F23">
        <w:rPr>
          <w:rFonts w:ascii="Times New Roman" w:hAnsi="Times New Roman" w:cs="Times New Roman"/>
          <w:sz w:val="16"/>
          <w:szCs w:val="16"/>
        </w:rPr>
        <w:t xml:space="preserve">The Louisiana Code of Ethics is generally not applicable to </w:t>
      </w:r>
      <w:r>
        <w:rPr>
          <w:rFonts w:ascii="Times New Roman" w:hAnsi="Times New Roman" w:cs="Times New Roman"/>
          <w:sz w:val="16"/>
          <w:szCs w:val="16"/>
        </w:rPr>
        <w:t>nonprofit</w:t>
      </w:r>
      <w:r w:rsidRPr="00171F23">
        <w:rPr>
          <w:rFonts w:ascii="Times New Roman" w:hAnsi="Times New Roman" w:cs="Times New Roman"/>
          <w:sz w:val="16"/>
          <w:szCs w:val="16"/>
        </w:rPr>
        <w:t xml:space="preserve"> entities but may be applicable in certain situations, such as councils on aging.  If ethics is applicable to a </w:t>
      </w:r>
      <w:r>
        <w:rPr>
          <w:rFonts w:ascii="Times New Roman" w:hAnsi="Times New Roman" w:cs="Times New Roman"/>
          <w:sz w:val="16"/>
          <w:szCs w:val="16"/>
        </w:rPr>
        <w:t>nonprofit</w:t>
      </w:r>
      <w:r w:rsidRPr="00171F23">
        <w:rPr>
          <w:rFonts w:ascii="Times New Roman" w:hAnsi="Times New Roman" w:cs="Times New Roman"/>
          <w:sz w:val="16"/>
          <w:szCs w:val="16"/>
        </w:rPr>
        <w:t xml:space="preserve">, the procedures should be </w:t>
      </w:r>
      <w:r>
        <w:rPr>
          <w:rFonts w:ascii="Times New Roman" w:hAnsi="Times New Roman" w:cs="Times New Roman"/>
          <w:sz w:val="16"/>
          <w:szCs w:val="16"/>
        </w:rPr>
        <w:t>performed</w:t>
      </w:r>
      <w:r w:rsidRPr="00171F23">
        <w:rPr>
          <w:rFonts w:ascii="Times New Roman" w:hAnsi="Times New Roman" w:cs="Times New Roman"/>
          <w:sz w:val="16"/>
          <w:szCs w:val="16"/>
        </w:rPr>
        <w:t>.</w:t>
      </w:r>
    </w:p>
  </w:footnote>
  <w:footnote w:id="21">
    <w:p w14:paraId="4A69DD79" w14:textId="0C90E5F5" w:rsidR="00BD0A4B" w:rsidRDefault="00BD0A4B">
      <w:pPr>
        <w:pStyle w:val="FootnoteText"/>
      </w:pPr>
      <w:r>
        <w:rPr>
          <w:rStyle w:val="FootnoteReference"/>
        </w:rPr>
        <w:footnoteRef/>
      </w:r>
      <w:r>
        <w:t xml:space="preserve"> </w:t>
      </w:r>
      <w:r>
        <w:rPr>
          <w:rFonts w:ascii="Times New Roman" w:hAnsi="Times New Roman" w:cs="Times New Roman"/>
          <w:sz w:val="16"/>
          <w:szCs w:val="16"/>
        </w:rPr>
        <w:t>This AUP category</w:t>
      </w:r>
      <w:r w:rsidRPr="00171F23">
        <w:rPr>
          <w:rFonts w:ascii="Times New Roman" w:hAnsi="Times New Roman" w:cs="Times New Roman"/>
          <w:sz w:val="16"/>
          <w:szCs w:val="16"/>
        </w:rPr>
        <w:t xml:space="preserve"> is generally not applicable to </w:t>
      </w:r>
      <w:r>
        <w:rPr>
          <w:rFonts w:ascii="Times New Roman" w:hAnsi="Times New Roman" w:cs="Times New Roman"/>
          <w:sz w:val="16"/>
          <w:szCs w:val="16"/>
        </w:rPr>
        <w:t>nonprofit</w:t>
      </w:r>
      <w:r w:rsidRPr="00171F23">
        <w:rPr>
          <w:rFonts w:ascii="Times New Roman" w:hAnsi="Times New Roman" w:cs="Times New Roman"/>
          <w:sz w:val="16"/>
          <w:szCs w:val="16"/>
        </w:rPr>
        <w:t xml:space="preserve"> entities</w:t>
      </w:r>
      <w:r>
        <w:rPr>
          <w:rFonts w:ascii="Times New Roman" w:hAnsi="Times New Roman" w:cs="Times New Roman"/>
          <w:sz w:val="16"/>
          <w:szCs w:val="16"/>
        </w:rPr>
        <w:t>; however, if applicable, the procedures should be performed</w:t>
      </w:r>
      <w:r w:rsidRPr="00171F23">
        <w:rPr>
          <w:rFonts w:ascii="Times New Roman" w:hAnsi="Times New Roman" w:cs="Times New Roman"/>
          <w:sz w:val="16"/>
          <w:szCs w:val="16"/>
        </w:rPr>
        <w:t>.</w:t>
      </w:r>
    </w:p>
  </w:footnote>
  <w:footnote w:id="22">
    <w:p w14:paraId="5A6242D9" w14:textId="77777777" w:rsidR="00BD0A4B" w:rsidRDefault="00BD0A4B">
      <w:pPr>
        <w:pStyle w:val="FootnoteText"/>
      </w:pPr>
      <w:r>
        <w:rPr>
          <w:rStyle w:val="FootnoteReference"/>
        </w:rPr>
        <w:footnoteRef/>
      </w:r>
      <w:r w:rsidRPr="00DC6DD4">
        <w:rPr>
          <w:rFonts w:ascii="Times New Roman" w:hAnsi="Times New Roman" w:cs="Times New Roman"/>
          <w:sz w:val="16"/>
          <w:szCs w:val="16"/>
        </w:rPr>
        <w:t xml:space="preserve"> Observation may be limited to those premises that are visited during the performance of other procedures under the AUPs.</w:t>
      </w:r>
    </w:p>
  </w:footnote>
  <w:footnote w:id="23">
    <w:p w14:paraId="06AB5B26" w14:textId="77777777" w:rsidR="00BD0A4B" w:rsidRDefault="00BD0A4B">
      <w:pPr>
        <w:pStyle w:val="FootnoteText"/>
      </w:pPr>
      <w:r>
        <w:rPr>
          <w:rStyle w:val="FootnoteReference"/>
        </w:rPr>
        <w:footnoteRef/>
      </w:r>
      <w:r>
        <w:t xml:space="preserve"> </w:t>
      </w:r>
      <w:r w:rsidRPr="00CC2561">
        <w:rPr>
          <w:rFonts w:ascii="Times New Roman" w:eastAsia="Times New Roman" w:hAnsi="Times New Roman" w:cs="Times New Roman"/>
          <w:sz w:val="16"/>
          <w:szCs w:val="16"/>
        </w:rPr>
        <w:t xml:space="preserve">This notice is available for download or print at </w:t>
      </w:r>
      <w:hyperlink r:id="rId1" w:history="1">
        <w:r w:rsidRPr="00CC2561">
          <w:rPr>
            <w:rStyle w:val="Hyperlink"/>
            <w:rFonts w:ascii="Times New Roman" w:eastAsia="Times New Roman" w:hAnsi="Times New Roman" w:cs="Times New Roman"/>
            <w:sz w:val="16"/>
            <w:szCs w:val="16"/>
          </w:rPr>
          <w:t>www.lla.la.gov/hotline</w:t>
        </w:r>
      </w:hyperlink>
      <w:r w:rsidRPr="00CC2561">
        <w:rPr>
          <w:rStyle w:val="Hyperlink"/>
          <w:rFonts w:ascii="Times New Roman" w:eastAsia="Times New Roman" w:hAnsi="Times New Roman" w:cs="Times New Roman"/>
          <w:sz w:val="16"/>
          <w:szCs w:val="16"/>
        </w:rPr>
        <w:t>.</w:t>
      </w:r>
    </w:p>
  </w:footnote>
  <w:footnote w:id="24">
    <w:p w14:paraId="31F31929" w14:textId="36C33BEB" w:rsidR="000077F5" w:rsidRPr="000077F5" w:rsidRDefault="000077F5" w:rsidP="000077F5">
      <w:pPr>
        <w:pStyle w:val="FootnoteText"/>
        <w:ind w:left="144" w:hanging="144"/>
        <w:rPr>
          <w:rFonts w:ascii="Times New Roman" w:hAnsi="Times New Roman" w:cs="Times New Roman"/>
        </w:rPr>
      </w:pPr>
      <w:r w:rsidRPr="000077F5">
        <w:rPr>
          <w:rStyle w:val="FootnoteReference"/>
          <w:rFonts w:ascii="Times New Roman" w:hAnsi="Times New Roman" w:cs="Times New Roman"/>
        </w:rPr>
        <w:footnoteRef/>
      </w:r>
      <w:r w:rsidRPr="000077F5">
        <w:rPr>
          <w:rFonts w:ascii="Times New Roman" w:hAnsi="Times New Roman" w:cs="Times New Roman"/>
        </w:rPr>
        <w:t xml:space="preserve"> A private non-profit that is subject to audit by virtue of the receipt of public funds does not appear to be subject to the sexual harassment law, R.S. 42:341, et seq.   However, the</w:t>
      </w:r>
      <w:r w:rsidR="008F7699">
        <w:rPr>
          <w:rFonts w:ascii="Times New Roman" w:hAnsi="Times New Roman" w:cs="Times New Roman"/>
        </w:rPr>
        <w:t xml:space="preserve"> non-profit</w:t>
      </w:r>
      <w:r w:rsidRPr="000077F5">
        <w:rPr>
          <w:rFonts w:ascii="Times New Roman" w:hAnsi="Times New Roman" w:cs="Times New Roman"/>
        </w:rPr>
        <w:t xml:space="preserve"> could be subject to the law as part of its agreement to receive the public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3079" w14:textId="26E86576" w:rsidR="00BD0A4B" w:rsidRDefault="00BD0A4B" w:rsidP="0032176A">
    <w:pPr>
      <w:pStyle w:val="Header"/>
      <w:spacing w:after="120"/>
      <w:jc w:val="center"/>
      <w:rPr>
        <w:rFonts w:ascii="Times New Roman" w:hAnsi="Times New Roman" w:cs="Times New Roman"/>
        <w:b/>
        <w:i/>
        <w:sz w:val="32"/>
        <w:szCs w:val="32"/>
      </w:rPr>
    </w:pPr>
    <w:r w:rsidRPr="002733E5">
      <w:rPr>
        <w:rFonts w:ascii="Times New Roman" w:hAnsi="Times New Roman" w:cs="Times New Roman"/>
        <w:b/>
        <w:i/>
        <w:sz w:val="32"/>
        <w:szCs w:val="32"/>
      </w:rPr>
      <w:t>Louisiana Legislative Auditor – Statewide Agreed-Upon Procedures</w:t>
    </w:r>
  </w:p>
  <w:p w14:paraId="58597935" w14:textId="1847D4EF" w:rsidR="00BD0A4B" w:rsidRDefault="00BD0A4B" w:rsidP="0032176A">
    <w:pPr>
      <w:pStyle w:val="Header"/>
      <w:spacing w:after="120"/>
      <w:jc w:val="center"/>
      <w:rPr>
        <w:rFonts w:ascii="Times New Roman" w:hAnsi="Times New Roman" w:cs="Times New Roman"/>
        <w:b/>
        <w:i/>
        <w:sz w:val="32"/>
        <w:szCs w:val="32"/>
      </w:rPr>
    </w:pPr>
    <w:r>
      <w:rPr>
        <w:rFonts w:ascii="Times New Roman" w:hAnsi="Times New Roman" w:cs="Times New Roman"/>
        <w:b/>
        <w:i/>
        <w:sz w:val="32"/>
        <w:szCs w:val="32"/>
      </w:rPr>
      <w:t>– Fiscal Years Ending 12/31/2021 through 11/30/2022</w:t>
    </w:r>
  </w:p>
  <w:p w14:paraId="7B8BCBC7" w14:textId="77777777" w:rsidR="00BD0A4B" w:rsidRPr="002733E5" w:rsidRDefault="00BD0A4B" w:rsidP="002733E5">
    <w:pPr>
      <w:pStyle w:val="Header"/>
      <w:jc w:val="center"/>
      <w:rPr>
        <w:rFonts w:ascii="Times New Roman" w:hAnsi="Times New Roman" w:cs="Times New Roman"/>
        <w:b/>
        <w: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D60"/>
    <w:multiLevelType w:val="hybridMultilevel"/>
    <w:tmpl w:val="26CA6160"/>
    <w:lvl w:ilvl="0" w:tplc="EBE41468">
      <w:start w:val="1"/>
      <w:numFmt w:val="decimal"/>
      <w:lvlText w:val="%1."/>
      <w:lvlJc w:val="left"/>
      <w:pPr>
        <w:tabs>
          <w:tab w:val="num" w:pos="360"/>
        </w:tabs>
        <w:ind w:left="360" w:hanging="360"/>
      </w:pPr>
      <w:rPr>
        <w:b w:val="0"/>
        <w:i w:val="0"/>
      </w:r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C03B91"/>
    <w:multiLevelType w:val="hybridMultilevel"/>
    <w:tmpl w:val="B358EB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329AE"/>
    <w:multiLevelType w:val="hybridMultilevel"/>
    <w:tmpl w:val="4550869A"/>
    <w:lvl w:ilvl="0" w:tplc="54584B02">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C1ED7"/>
    <w:multiLevelType w:val="hybridMultilevel"/>
    <w:tmpl w:val="3FA4DFC4"/>
    <w:lvl w:ilvl="0" w:tplc="947E3AA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247A0A"/>
    <w:multiLevelType w:val="hybridMultilevel"/>
    <w:tmpl w:val="9956F69C"/>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170"/>
        </w:tabs>
        <w:ind w:left="1170" w:hanging="360"/>
      </w:pPr>
      <w:rPr>
        <w:rFonts w:ascii="Symbol" w:hAnsi="Symbol" w:hint="default"/>
      </w:rPr>
    </w:lvl>
    <w:lvl w:ilvl="2" w:tplc="04090001">
      <w:start w:val="1"/>
      <w:numFmt w:val="bullet"/>
      <w:lvlText w:val=""/>
      <w:lvlJc w:val="left"/>
      <w:pPr>
        <w:tabs>
          <w:tab w:val="num" w:pos="1170"/>
        </w:tabs>
        <w:ind w:left="117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9BE6FC0"/>
    <w:multiLevelType w:val="hybridMultilevel"/>
    <w:tmpl w:val="BE4ABD3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4E6E5D"/>
    <w:multiLevelType w:val="hybridMultilevel"/>
    <w:tmpl w:val="64F48052"/>
    <w:lvl w:ilvl="0" w:tplc="27F8CA1C">
      <w:start w:val="1"/>
      <w:numFmt w:val="decimal"/>
      <w:lvlText w:val="%1."/>
      <w:lvlJc w:val="left"/>
      <w:pPr>
        <w:tabs>
          <w:tab w:val="num" w:pos="720"/>
        </w:tabs>
        <w:ind w:left="720" w:hanging="360"/>
      </w:pPr>
      <w:rPr>
        <w:color w:val="auto"/>
      </w:rPr>
    </w:lvl>
    <w:lvl w:ilvl="1" w:tplc="58D8E75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FC7F6F"/>
    <w:multiLevelType w:val="hybridMultilevel"/>
    <w:tmpl w:val="977A8EE0"/>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3CF2238"/>
    <w:multiLevelType w:val="hybridMultilevel"/>
    <w:tmpl w:val="10D6595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170"/>
        </w:tabs>
        <w:ind w:left="1170" w:hanging="360"/>
      </w:pPr>
    </w:lvl>
    <w:lvl w:ilvl="2" w:tplc="04090001">
      <w:start w:val="1"/>
      <w:numFmt w:val="bullet"/>
      <w:lvlText w:val=""/>
      <w:lvlJc w:val="left"/>
      <w:pPr>
        <w:tabs>
          <w:tab w:val="num" w:pos="1170"/>
        </w:tabs>
        <w:ind w:left="117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43E3297"/>
    <w:multiLevelType w:val="hybridMultilevel"/>
    <w:tmpl w:val="2AA0860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E4D75"/>
    <w:multiLevelType w:val="hybridMultilevel"/>
    <w:tmpl w:val="687E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33EDA"/>
    <w:multiLevelType w:val="hybridMultilevel"/>
    <w:tmpl w:val="86B427C2"/>
    <w:lvl w:ilvl="0" w:tplc="CF8E1406">
      <w:start w:val="8"/>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229B59D3"/>
    <w:multiLevelType w:val="hybridMultilevel"/>
    <w:tmpl w:val="D21AE886"/>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3AB02AA"/>
    <w:multiLevelType w:val="hybridMultilevel"/>
    <w:tmpl w:val="F93E74CC"/>
    <w:lvl w:ilvl="0" w:tplc="32BCC08A">
      <w:start w:val="14"/>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42A1125"/>
    <w:multiLevelType w:val="hybridMultilevel"/>
    <w:tmpl w:val="B336D4C2"/>
    <w:lvl w:ilvl="0" w:tplc="0409000B">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1890"/>
        </w:tabs>
        <w:ind w:left="1890" w:hanging="360"/>
      </w:pPr>
    </w:lvl>
    <w:lvl w:ilvl="2" w:tplc="04090001">
      <w:start w:val="1"/>
      <w:numFmt w:val="bullet"/>
      <w:lvlText w:val=""/>
      <w:lvlJc w:val="left"/>
      <w:pPr>
        <w:tabs>
          <w:tab w:val="num" w:pos="1890"/>
        </w:tabs>
        <w:ind w:left="1890" w:hanging="360"/>
      </w:pPr>
      <w:rPr>
        <w:rFonts w:ascii="Symbol" w:hAnsi="Symbol"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15:restartNumberingAfterBreak="0">
    <w:nsid w:val="2462076D"/>
    <w:multiLevelType w:val="hybridMultilevel"/>
    <w:tmpl w:val="0608B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11A8C"/>
    <w:multiLevelType w:val="hybridMultilevel"/>
    <w:tmpl w:val="0B400D52"/>
    <w:lvl w:ilvl="0" w:tplc="B5D2CBCE">
      <w:start w:val="22"/>
      <w:numFmt w:val="decimal"/>
      <w:lvlText w:val="%1."/>
      <w:lvlJc w:val="left"/>
      <w:pPr>
        <w:tabs>
          <w:tab w:val="num" w:pos="360"/>
        </w:tabs>
        <w:ind w:left="360" w:hanging="360"/>
      </w:pPr>
      <w:rPr>
        <w:rFonts w:hint="default"/>
        <w:color w:val="auto"/>
      </w:rPr>
    </w:lvl>
    <w:lvl w:ilvl="1" w:tplc="04090017">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2724480C"/>
    <w:multiLevelType w:val="hybridMultilevel"/>
    <w:tmpl w:val="58E4B9D4"/>
    <w:lvl w:ilvl="0" w:tplc="B650C8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E837CA"/>
    <w:multiLevelType w:val="hybridMultilevel"/>
    <w:tmpl w:val="4AAE8E5E"/>
    <w:lvl w:ilvl="0" w:tplc="46A0DC20">
      <w:start w:val="26"/>
      <w:numFmt w:val="decimal"/>
      <w:lvlText w:val="%1."/>
      <w:lvlJc w:val="left"/>
      <w:pPr>
        <w:tabs>
          <w:tab w:val="num" w:pos="360"/>
        </w:tabs>
        <w:ind w:left="360" w:hanging="360"/>
      </w:pPr>
      <w:rPr>
        <w:rFonts w:hint="default"/>
        <w:b w:val="0"/>
        <w:i w:val="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591F62"/>
    <w:multiLevelType w:val="hybridMultilevel"/>
    <w:tmpl w:val="4DF07E1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170"/>
        </w:tabs>
        <w:ind w:left="1170" w:hanging="360"/>
      </w:pPr>
      <w:rPr>
        <w:rFonts w:ascii="Wingdings" w:hAnsi="Wingdings" w:hint="default"/>
      </w:rPr>
    </w:lvl>
    <w:lvl w:ilvl="2" w:tplc="04090001">
      <w:start w:val="1"/>
      <w:numFmt w:val="bullet"/>
      <w:lvlText w:val=""/>
      <w:lvlJc w:val="left"/>
      <w:pPr>
        <w:tabs>
          <w:tab w:val="num" w:pos="1170"/>
        </w:tabs>
        <w:ind w:left="117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1913BD3"/>
    <w:multiLevelType w:val="hybridMultilevel"/>
    <w:tmpl w:val="90B05C84"/>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2EAAA82C">
      <w:start w:val="1"/>
      <w:numFmt w:val="bullet"/>
      <w:lvlText w:val="o"/>
      <w:lvlJc w:val="left"/>
      <w:pPr>
        <w:tabs>
          <w:tab w:val="num" w:pos="72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469604B"/>
    <w:multiLevelType w:val="hybridMultilevel"/>
    <w:tmpl w:val="CCF687C4"/>
    <w:lvl w:ilvl="0" w:tplc="CF8E1406">
      <w:start w:val="8"/>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355667E2"/>
    <w:multiLevelType w:val="hybridMultilevel"/>
    <w:tmpl w:val="442E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E46086"/>
    <w:multiLevelType w:val="hybridMultilevel"/>
    <w:tmpl w:val="3FA4DFC4"/>
    <w:lvl w:ilvl="0" w:tplc="947E3AA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412123"/>
    <w:multiLevelType w:val="hybridMultilevel"/>
    <w:tmpl w:val="C92AD8A6"/>
    <w:lvl w:ilvl="0" w:tplc="EBE41468">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EC963B0"/>
    <w:multiLevelType w:val="hybridMultilevel"/>
    <w:tmpl w:val="3738D5C0"/>
    <w:lvl w:ilvl="0" w:tplc="04090017">
      <w:start w:val="1"/>
      <w:numFmt w:val="lowerLetter"/>
      <w:lvlText w:val="%1)"/>
      <w:lvlJc w:val="left"/>
      <w:pPr>
        <w:tabs>
          <w:tab w:val="num" w:pos="1080"/>
        </w:tabs>
        <w:ind w:left="1080" w:hanging="360"/>
      </w:pPr>
      <w:rPr>
        <w:rFonts w:hint="default"/>
        <w:color w:val="auto"/>
      </w:rPr>
    </w:lvl>
    <w:lvl w:ilvl="1" w:tplc="2EAAA82C">
      <w:start w:val="1"/>
      <w:numFmt w:val="bullet"/>
      <w:lvlText w:val="o"/>
      <w:lvlJc w:val="left"/>
      <w:pPr>
        <w:tabs>
          <w:tab w:val="num" w:pos="72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F9A2D30"/>
    <w:multiLevelType w:val="hybridMultilevel"/>
    <w:tmpl w:val="3FA4DFC4"/>
    <w:lvl w:ilvl="0" w:tplc="947E3AA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E93DEF"/>
    <w:multiLevelType w:val="hybridMultilevel"/>
    <w:tmpl w:val="EE8AD6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CE0FF86">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423180"/>
    <w:multiLevelType w:val="hybridMultilevel"/>
    <w:tmpl w:val="D5D84FE0"/>
    <w:lvl w:ilvl="0" w:tplc="6772DAEE">
      <w:start w:val="2"/>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B">
      <w:start w:val="1"/>
      <w:numFmt w:val="bullet"/>
      <w:lvlText w:val=""/>
      <w:lvlJc w:val="left"/>
      <w:pPr>
        <w:tabs>
          <w:tab w:val="num" w:pos="810"/>
        </w:tabs>
        <w:ind w:left="810" w:hanging="360"/>
      </w:pPr>
      <w:rPr>
        <w:rFonts w:ascii="Wingdings" w:hAnsi="Wingdings" w:hint="default"/>
      </w:rPr>
    </w:lvl>
    <w:lvl w:ilvl="3" w:tplc="0409000B">
      <w:start w:val="1"/>
      <w:numFmt w:val="bullet"/>
      <w:lvlText w:val=""/>
      <w:lvlJc w:val="left"/>
      <w:pPr>
        <w:tabs>
          <w:tab w:val="num" w:pos="2520"/>
        </w:tabs>
        <w:ind w:left="2520" w:hanging="360"/>
      </w:pPr>
      <w:rPr>
        <w:rFonts w:ascii="Wingdings" w:hAnsi="Wingding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464459E7"/>
    <w:multiLevelType w:val="hybridMultilevel"/>
    <w:tmpl w:val="1982D3FC"/>
    <w:lvl w:ilvl="0" w:tplc="21F29F2E">
      <w:start w:val="3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7375393"/>
    <w:multiLevelType w:val="hybridMultilevel"/>
    <w:tmpl w:val="09F2CFF6"/>
    <w:lvl w:ilvl="0" w:tplc="04090003">
      <w:start w:val="1"/>
      <w:numFmt w:val="bullet"/>
      <w:lvlText w:val="o"/>
      <w:lvlJc w:val="left"/>
      <w:pPr>
        <w:tabs>
          <w:tab w:val="num" w:pos="1080"/>
        </w:tabs>
        <w:ind w:left="1080" w:hanging="360"/>
      </w:pPr>
      <w:rPr>
        <w:rFonts w:ascii="Courier New" w:hAnsi="Courier New" w:cs="Courier New" w:hint="default"/>
      </w:rPr>
    </w:lvl>
    <w:lvl w:ilvl="1" w:tplc="0409000B">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296E22"/>
    <w:multiLevelType w:val="hybridMultilevel"/>
    <w:tmpl w:val="7C6E23DA"/>
    <w:lvl w:ilvl="0" w:tplc="04090017">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15:restartNumberingAfterBreak="0">
    <w:nsid w:val="568D2223"/>
    <w:multiLevelType w:val="hybridMultilevel"/>
    <w:tmpl w:val="774E7D7C"/>
    <w:lvl w:ilvl="0" w:tplc="04090017">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1890"/>
        </w:tabs>
        <w:ind w:left="1890" w:hanging="360"/>
      </w:pPr>
    </w:lvl>
    <w:lvl w:ilvl="2" w:tplc="04090001">
      <w:start w:val="1"/>
      <w:numFmt w:val="bullet"/>
      <w:lvlText w:val=""/>
      <w:lvlJc w:val="left"/>
      <w:pPr>
        <w:tabs>
          <w:tab w:val="num" w:pos="1890"/>
        </w:tabs>
        <w:ind w:left="1890" w:hanging="360"/>
      </w:pPr>
      <w:rPr>
        <w:rFonts w:ascii="Symbol" w:hAnsi="Symbol"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3" w15:restartNumberingAfterBreak="0">
    <w:nsid w:val="57BD39A7"/>
    <w:multiLevelType w:val="hybridMultilevel"/>
    <w:tmpl w:val="977A8EE0"/>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5BC00E01"/>
    <w:multiLevelType w:val="hybridMultilevel"/>
    <w:tmpl w:val="D6E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4448CB"/>
    <w:multiLevelType w:val="hybridMultilevel"/>
    <w:tmpl w:val="2E385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56A5ABE"/>
    <w:multiLevelType w:val="hybridMultilevel"/>
    <w:tmpl w:val="3FA4DFC4"/>
    <w:lvl w:ilvl="0" w:tplc="947E3AA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6F340F9"/>
    <w:multiLevelType w:val="hybridMultilevel"/>
    <w:tmpl w:val="FD3A1D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330F8"/>
    <w:multiLevelType w:val="hybridMultilevel"/>
    <w:tmpl w:val="663EEF8C"/>
    <w:lvl w:ilvl="0" w:tplc="6532A744">
      <w:start w:val="17"/>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15:restartNumberingAfterBreak="0">
    <w:nsid w:val="69467DB4"/>
    <w:multiLevelType w:val="hybridMultilevel"/>
    <w:tmpl w:val="2BFCB4C8"/>
    <w:lvl w:ilvl="0" w:tplc="8B42C8DC">
      <w:start w:val="5"/>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69D01C37"/>
    <w:multiLevelType w:val="hybridMultilevel"/>
    <w:tmpl w:val="2E94336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170"/>
        </w:tabs>
        <w:ind w:left="1170" w:hanging="360"/>
      </w:pPr>
    </w:lvl>
    <w:lvl w:ilvl="2" w:tplc="04090001">
      <w:start w:val="1"/>
      <w:numFmt w:val="bullet"/>
      <w:lvlText w:val=""/>
      <w:lvlJc w:val="left"/>
      <w:pPr>
        <w:tabs>
          <w:tab w:val="num" w:pos="1170"/>
        </w:tabs>
        <w:ind w:left="117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D1F12AD"/>
    <w:multiLevelType w:val="hybridMultilevel"/>
    <w:tmpl w:val="D2243988"/>
    <w:lvl w:ilvl="0" w:tplc="9432D84E">
      <w:start w:val="20"/>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2" w15:restartNumberingAfterBreak="0">
    <w:nsid w:val="6D604AA8"/>
    <w:multiLevelType w:val="hybridMultilevel"/>
    <w:tmpl w:val="8FA8A862"/>
    <w:lvl w:ilvl="0" w:tplc="EBE41468">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E1D10DF"/>
    <w:multiLevelType w:val="hybridMultilevel"/>
    <w:tmpl w:val="B2C6EAB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732AF4"/>
    <w:multiLevelType w:val="hybridMultilevel"/>
    <w:tmpl w:val="64F48052"/>
    <w:lvl w:ilvl="0" w:tplc="27F8CA1C">
      <w:start w:val="1"/>
      <w:numFmt w:val="decimal"/>
      <w:lvlText w:val="%1."/>
      <w:lvlJc w:val="left"/>
      <w:pPr>
        <w:tabs>
          <w:tab w:val="num" w:pos="360"/>
        </w:tabs>
        <w:ind w:left="360" w:hanging="360"/>
      </w:pPr>
      <w:rPr>
        <w:color w:val="auto"/>
      </w:rPr>
    </w:lvl>
    <w:lvl w:ilvl="1" w:tplc="58D8E75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95E6289"/>
    <w:multiLevelType w:val="hybridMultilevel"/>
    <w:tmpl w:val="64F48052"/>
    <w:lvl w:ilvl="0" w:tplc="27F8CA1C">
      <w:start w:val="1"/>
      <w:numFmt w:val="decimal"/>
      <w:lvlText w:val="%1."/>
      <w:lvlJc w:val="left"/>
      <w:pPr>
        <w:tabs>
          <w:tab w:val="num" w:pos="360"/>
        </w:tabs>
        <w:ind w:left="360" w:hanging="360"/>
      </w:pPr>
      <w:rPr>
        <w:color w:val="auto"/>
      </w:rPr>
    </w:lvl>
    <w:lvl w:ilvl="1" w:tplc="58D8E75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AD522F5"/>
    <w:multiLevelType w:val="hybridMultilevel"/>
    <w:tmpl w:val="35460FB8"/>
    <w:lvl w:ilvl="0" w:tplc="3D600634">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7" w15:restartNumberingAfterBreak="0">
    <w:nsid w:val="7FB4771A"/>
    <w:multiLevelType w:val="hybridMultilevel"/>
    <w:tmpl w:val="FD3A1D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25"/>
  </w:num>
  <w:num w:numId="4">
    <w:abstractNumId w:val="42"/>
  </w:num>
  <w:num w:numId="5">
    <w:abstractNumId w:val="12"/>
  </w:num>
  <w:num w:numId="6">
    <w:abstractNumId w:val="35"/>
  </w:num>
  <w:num w:numId="7">
    <w:abstractNumId w:val="7"/>
  </w:num>
  <w:num w:numId="8">
    <w:abstractNumId w:val="28"/>
  </w:num>
  <w:num w:numId="9">
    <w:abstractNumId w:val="32"/>
  </w:num>
  <w:num w:numId="10">
    <w:abstractNumId w:val="21"/>
  </w:num>
  <w:num w:numId="11">
    <w:abstractNumId w:val="46"/>
  </w:num>
  <w:num w:numId="12">
    <w:abstractNumId w:val="31"/>
  </w:num>
  <w:num w:numId="13">
    <w:abstractNumId w:val="26"/>
  </w:num>
  <w:num w:numId="14">
    <w:abstractNumId w:val="13"/>
  </w:num>
  <w:num w:numId="15">
    <w:abstractNumId w:val="37"/>
  </w:num>
  <w:num w:numId="16">
    <w:abstractNumId w:val="9"/>
  </w:num>
  <w:num w:numId="17">
    <w:abstractNumId w:val="38"/>
  </w:num>
  <w:num w:numId="18">
    <w:abstractNumId w:val="30"/>
  </w:num>
  <w:num w:numId="19">
    <w:abstractNumId w:val="45"/>
  </w:num>
  <w:num w:numId="20">
    <w:abstractNumId w:val="29"/>
  </w:num>
  <w:num w:numId="21">
    <w:abstractNumId w:val="41"/>
  </w:num>
  <w:num w:numId="22">
    <w:abstractNumId w:val="20"/>
  </w:num>
  <w:num w:numId="23">
    <w:abstractNumId w:val="39"/>
  </w:num>
  <w:num w:numId="24">
    <w:abstractNumId w:val="40"/>
  </w:num>
  <w:num w:numId="25">
    <w:abstractNumId w:val="19"/>
  </w:num>
  <w:num w:numId="26">
    <w:abstractNumId w:val="8"/>
  </w:num>
  <w:num w:numId="27">
    <w:abstractNumId w:val="5"/>
  </w:num>
  <w:num w:numId="28">
    <w:abstractNumId w:val="44"/>
  </w:num>
  <w:num w:numId="29">
    <w:abstractNumId w:val="15"/>
  </w:num>
  <w:num w:numId="30">
    <w:abstractNumId w:val="17"/>
  </w:num>
  <w:num w:numId="31">
    <w:abstractNumId w:val="47"/>
  </w:num>
  <w:num w:numId="32">
    <w:abstractNumId w:val="16"/>
  </w:num>
  <w:num w:numId="33">
    <w:abstractNumId w:val="43"/>
  </w:num>
  <w:num w:numId="34">
    <w:abstractNumId w:val="34"/>
  </w:num>
  <w:num w:numId="35">
    <w:abstractNumId w:val="4"/>
  </w:num>
  <w:num w:numId="36">
    <w:abstractNumId w:val="36"/>
  </w:num>
  <w:num w:numId="37">
    <w:abstractNumId w:val="3"/>
  </w:num>
  <w:num w:numId="38">
    <w:abstractNumId w:val="23"/>
  </w:num>
  <w:num w:numId="39">
    <w:abstractNumId w:val="14"/>
  </w:num>
  <w:num w:numId="40">
    <w:abstractNumId w:val="10"/>
  </w:num>
  <w:num w:numId="41">
    <w:abstractNumId w:val="22"/>
  </w:num>
  <w:num w:numId="42">
    <w:abstractNumId w:val="33"/>
  </w:num>
  <w:num w:numId="43">
    <w:abstractNumId w:val="11"/>
  </w:num>
  <w:num w:numId="44">
    <w:abstractNumId w:val="2"/>
  </w:num>
  <w:num w:numId="45">
    <w:abstractNumId w:val="1"/>
  </w:num>
  <w:num w:numId="46">
    <w:abstractNumId w:val="24"/>
  </w:num>
  <w:num w:numId="47">
    <w:abstractNumId w:val="0"/>
  </w:num>
  <w:num w:numId="4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09"/>
    <w:rsid w:val="000052E0"/>
    <w:rsid w:val="000077F5"/>
    <w:rsid w:val="000113E9"/>
    <w:rsid w:val="00012F1D"/>
    <w:rsid w:val="000139F2"/>
    <w:rsid w:val="00013BAF"/>
    <w:rsid w:val="0001448D"/>
    <w:rsid w:val="000213E1"/>
    <w:rsid w:val="00021626"/>
    <w:rsid w:val="00023AF8"/>
    <w:rsid w:val="00032942"/>
    <w:rsid w:val="000335EB"/>
    <w:rsid w:val="0003432E"/>
    <w:rsid w:val="00040061"/>
    <w:rsid w:val="000414DB"/>
    <w:rsid w:val="00044745"/>
    <w:rsid w:val="000447BE"/>
    <w:rsid w:val="00044BC0"/>
    <w:rsid w:val="00045251"/>
    <w:rsid w:val="00045882"/>
    <w:rsid w:val="00045A66"/>
    <w:rsid w:val="00045CFE"/>
    <w:rsid w:val="0005023F"/>
    <w:rsid w:val="00050483"/>
    <w:rsid w:val="0006204B"/>
    <w:rsid w:val="00074446"/>
    <w:rsid w:val="00080501"/>
    <w:rsid w:val="000905B3"/>
    <w:rsid w:val="00091088"/>
    <w:rsid w:val="0009149A"/>
    <w:rsid w:val="00092367"/>
    <w:rsid w:val="00096C77"/>
    <w:rsid w:val="000A1511"/>
    <w:rsid w:val="000A1C74"/>
    <w:rsid w:val="000B20BA"/>
    <w:rsid w:val="000B7B0D"/>
    <w:rsid w:val="000C0840"/>
    <w:rsid w:val="000C4DF8"/>
    <w:rsid w:val="000C58A7"/>
    <w:rsid w:val="000D3BBC"/>
    <w:rsid w:val="000D5B24"/>
    <w:rsid w:val="000E1194"/>
    <w:rsid w:val="000E1CFA"/>
    <w:rsid w:val="000E675B"/>
    <w:rsid w:val="000F5F61"/>
    <w:rsid w:val="000F6350"/>
    <w:rsid w:val="00104EE8"/>
    <w:rsid w:val="00112C09"/>
    <w:rsid w:val="00113BA7"/>
    <w:rsid w:val="00116ACC"/>
    <w:rsid w:val="00122CCE"/>
    <w:rsid w:val="00123E29"/>
    <w:rsid w:val="00124846"/>
    <w:rsid w:val="00127DDF"/>
    <w:rsid w:val="001309C8"/>
    <w:rsid w:val="00132A12"/>
    <w:rsid w:val="00132BBC"/>
    <w:rsid w:val="001338F5"/>
    <w:rsid w:val="00133A56"/>
    <w:rsid w:val="00134ACA"/>
    <w:rsid w:val="0013510F"/>
    <w:rsid w:val="001359BF"/>
    <w:rsid w:val="00140694"/>
    <w:rsid w:val="00141FA6"/>
    <w:rsid w:val="001454A4"/>
    <w:rsid w:val="00150CFC"/>
    <w:rsid w:val="001518BB"/>
    <w:rsid w:val="00156DE8"/>
    <w:rsid w:val="00157DED"/>
    <w:rsid w:val="00161C27"/>
    <w:rsid w:val="001627D5"/>
    <w:rsid w:val="001652BB"/>
    <w:rsid w:val="00165EA8"/>
    <w:rsid w:val="00167C21"/>
    <w:rsid w:val="00171511"/>
    <w:rsid w:val="00171F23"/>
    <w:rsid w:val="00174E1F"/>
    <w:rsid w:val="00175E7A"/>
    <w:rsid w:val="00180FE2"/>
    <w:rsid w:val="001845EE"/>
    <w:rsid w:val="00184AF4"/>
    <w:rsid w:val="00190D8F"/>
    <w:rsid w:val="001914FA"/>
    <w:rsid w:val="0019247F"/>
    <w:rsid w:val="00193262"/>
    <w:rsid w:val="00193752"/>
    <w:rsid w:val="001951EE"/>
    <w:rsid w:val="00197778"/>
    <w:rsid w:val="001A0830"/>
    <w:rsid w:val="001A5B80"/>
    <w:rsid w:val="001B07AE"/>
    <w:rsid w:val="001B34D2"/>
    <w:rsid w:val="001B4CAC"/>
    <w:rsid w:val="001C40B6"/>
    <w:rsid w:val="001C45C2"/>
    <w:rsid w:val="001C5AFA"/>
    <w:rsid w:val="001C6B55"/>
    <w:rsid w:val="001C7D13"/>
    <w:rsid w:val="001D2803"/>
    <w:rsid w:val="001D65C0"/>
    <w:rsid w:val="001F0E6E"/>
    <w:rsid w:val="001F2059"/>
    <w:rsid w:val="001F2870"/>
    <w:rsid w:val="001F332F"/>
    <w:rsid w:val="001F452A"/>
    <w:rsid w:val="001F4CC6"/>
    <w:rsid w:val="00204534"/>
    <w:rsid w:val="002066AE"/>
    <w:rsid w:val="00214718"/>
    <w:rsid w:val="00216CC0"/>
    <w:rsid w:val="00221932"/>
    <w:rsid w:val="0022226C"/>
    <w:rsid w:val="00222B99"/>
    <w:rsid w:val="00223C6C"/>
    <w:rsid w:val="002269AC"/>
    <w:rsid w:val="00227127"/>
    <w:rsid w:val="00230F9C"/>
    <w:rsid w:val="002313E5"/>
    <w:rsid w:val="00231F20"/>
    <w:rsid w:val="00233A26"/>
    <w:rsid w:val="00234093"/>
    <w:rsid w:val="00234884"/>
    <w:rsid w:val="00234F0A"/>
    <w:rsid w:val="00236E56"/>
    <w:rsid w:val="00253B69"/>
    <w:rsid w:val="00257199"/>
    <w:rsid w:val="00260139"/>
    <w:rsid w:val="00261601"/>
    <w:rsid w:val="00263767"/>
    <w:rsid w:val="00264308"/>
    <w:rsid w:val="00265C61"/>
    <w:rsid w:val="00267B77"/>
    <w:rsid w:val="00270290"/>
    <w:rsid w:val="002717CE"/>
    <w:rsid w:val="002733E5"/>
    <w:rsid w:val="00281E36"/>
    <w:rsid w:val="00283A93"/>
    <w:rsid w:val="0028742C"/>
    <w:rsid w:val="002A0D6F"/>
    <w:rsid w:val="002A1F21"/>
    <w:rsid w:val="002A2CBD"/>
    <w:rsid w:val="002A31C2"/>
    <w:rsid w:val="002B52B9"/>
    <w:rsid w:val="002B6D70"/>
    <w:rsid w:val="002C4810"/>
    <w:rsid w:val="002C4D7A"/>
    <w:rsid w:val="002C5B04"/>
    <w:rsid w:val="002C6A0C"/>
    <w:rsid w:val="002C71F7"/>
    <w:rsid w:val="002D4E2A"/>
    <w:rsid w:val="002E0BEB"/>
    <w:rsid w:val="002E1FEB"/>
    <w:rsid w:val="002E2C16"/>
    <w:rsid w:val="002E4614"/>
    <w:rsid w:val="002F2339"/>
    <w:rsid w:val="002F67DF"/>
    <w:rsid w:val="002F78E5"/>
    <w:rsid w:val="003009E6"/>
    <w:rsid w:val="00300B27"/>
    <w:rsid w:val="00301E94"/>
    <w:rsid w:val="003057C9"/>
    <w:rsid w:val="003138B1"/>
    <w:rsid w:val="0031415A"/>
    <w:rsid w:val="00317B61"/>
    <w:rsid w:val="0032176A"/>
    <w:rsid w:val="00321806"/>
    <w:rsid w:val="003245F5"/>
    <w:rsid w:val="00327BD8"/>
    <w:rsid w:val="00336628"/>
    <w:rsid w:val="00337B8D"/>
    <w:rsid w:val="003455C5"/>
    <w:rsid w:val="00354845"/>
    <w:rsid w:val="00355233"/>
    <w:rsid w:val="00356ED4"/>
    <w:rsid w:val="00360777"/>
    <w:rsid w:val="00370B8A"/>
    <w:rsid w:val="003727AF"/>
    <w:rsid w:val="00373282"/>
    <w:rsid w:val="0037344C"/>
    <w:rsid w:val="00376027"/>
    <w:rsid w:val="003760F2"/>
    <w:rsid w:val="003814B2"/>
    <w:rsid w:val="003848DC"/>
    <w:rsid w:val="00385840"/>
    <w:rsid w:val="00391A8E"/>
    <w:rsid w:val="00392002"/>
    <w:rsid w:val="00394FA1"/>
    <w:rsid w:val="00397921"/>
    <w:rsid w:val="003A032A"/>
    <w:rsid w:val="003B0325"/>
    <w:rsid w:val="003B1894"/>
    <w:rsid w:val="003B58F2"/>
    <w:rsid w:val="003B62A1"/>
    <w:rsid w:val="003C262F"/>
    <w:rsid w:val="003C3434"/>
    <w:rsid w:val="003C50A6"/>
    <w:rsid w:val="003C5B1D"/>
    <w:rsid w:val="003D0E72"/>
    <w:rsid w:val="003D450D"/>
    <w:rsid w:val="003D65C2"/>
    <w:rsid w:val="003E0C2E"/>
    <w:rsid w:val="003E3324"/>
    <w:rsid w:val="003E3850"/>
    <w:rsid w:val="003E4976"/>
    <w:rsid w:val="003E6921"/>
    <w:rsid w:val="003F0E2B"/>
    <w:rsid w:val="003F1620"/>
    <w:rsid w:val="003F6313"/>
    <w:rsid w:val="00404DDC"/>
    <w:rsid w:val="00407313"/>
    <w:rsid w:val="00417C40"/>
    <w:rsid w:val="00420985"/>
    <w:rsid w:val="00421BF0"/>
    <w:rsid w:val="00425BD7"/>
    <w:rsid w:val="00427735"/>
    <w:rsid w:val="004338D6"/>
    <w:rsid w:val="00433FFB"/>
    <w:rsid w:val="00435EF0"/>
    <w:rsid w:val="0043670C"/>
    <w:rsid w:val="00443A3A"/>
    <w:rsid w:val="00446A9D"/>
    <w:rsid w:val="00456F60"/>
    <w:rsid w:val="004574EE"/>
    <w:rsid w:val="00457DA8"/>
    <w:rsid w:val="004618C5"/>
    <w:rsid w:val="00462601"/>
    <w:rsid w:val="0046539C"/>
    <w:rsid w:val="004673FD"/>
    <w:rsid w:val="00470EA2"/>
    <w:rsid w:val="0047487C"/>
    <w:rsid w:val="004755F2"/>
    <w:rsid w:val="00476E61"/>
    <w:rsid w:val="0047710F"/>
    <w:rsid w:val="0048032F"/>
    <w:rsid w:val="00481139"/>
    <w:rsid w:val="0048403F"/>
    <w:rsid w:val="004877C5"/>
    <w:rsid w:val="00487C69"/>
    <w:rsid w:val="00487DBF"/>
    <w:rsid w:val="00492215"/>
    <w:rsid w:val="004A1304"/>
    <w:rsid w:val="004A301A"/>
    <w:rsid w:val="004A5583"/>
    <w:rsid w:val="004A671E"/>
    <w:rsid w:val="004B2E79"/>
    <w:rsid w:val="004B512F"/>
    <w:rsid w:val="004B5821"/>
    <w:rsid w:val="004B5DAE"/>
    <w:rsid w:val="004C34C3"/>
    <w:rsid w:val="004C3816"/>
    <w:rsid w:val="004D05A7"/>
    <w:rsid w:val="004D0EC6"/>
    <w:rsid w:val="004D5D8E"/>
    <w:rsid w:val="004D7CF5"/>
    <w:rsid w:val="004E27CB"/>
    <w:rsid w:val="004E5C89"/>
    <w:rsid w:val="004E6A3D"/>
    <w:rsid w:val="004E6C3B"/>
    <w:rsid w:val="004F4E41"/>
    <w:rsid w:val="004F608E"/>
    <w:rsid w:val="004F676F"/>
    <w:rsid w:val="00500B09"/>
    <w:rsid w:val="00501700"/>
    <w:rsid w:val="0050312B"/>
    <w:rsid w:val="00503E23"/>
    <w:rsid w:val="00505613"/>
    <w:rsid w:val="005061BE"/>
    <w:rsid w:val="00507A31"/>
    <w:rsid w:val="005113A5"/>
    <w:rsid w:val="00513735"/>
    <w:rsid w:val="00514B22"/>
    <w:rsid w:val="00515773"/>
    <w:rsid w:val="005224A1"/>
    <w:rsid w:val="0053056D"/>
    <w:rsid w:val="0053576D"/>
    <w:rsid w:val="00535B07"/>
    <w:rsid w:val="00536020"/>
    <w:rsid w:val="00536990"/>
    <w:rsid w:val="00536E2E"/>
    <w:rsid w:val="00542E19"/>
    <w:rsid w:val="00552893"/>
    <w:rsid w:val="00553958"/>
    <w:rsid w:val="00553B17"/>
    <w:rsid w:val="0055452B"/>
    <w:rsid w:val="0055574A"/>
    <w:rsid w:val="005567ED"/>
    <w:rsid w:val="00557BF8"/>
    <w:rsid w:val="00560FB5"/>
    <w:rsid w:val="0057097A"/>
    <w:rsid w:val="00572FDA"/>
    <w:rsid w:val="00576441"/>
    <w:rsid w:val="005815A5"/>
    <w:rsid w:val="0058696F"/>
    <w:rsid w:val="005900EC"/>
    <w:rsid w:val="005A0DAC"/>
    <w:rsid w:val="005A267A"/>
    <w:rsid w:val="005A3F2C"/>
    <w:rsid w:val="005B343A"/>
    <w:rsid w:val="005B3538"/>
    <w:rsid w:val="005B409F"/>
    <w:rsid w:val="005B6566"/>
    <w:rsid w:val="005C2569"/>
    <w:rsid w:val="005D2CD4"/>
    <w:rsid w:val="005D5B17"/>
    <w:rsid w:val="005D6A3D"/>
    <w:rsid w:val="005E0CAB"/>
    <w:rsid w:val="005E123D"/>
    <w:rsid w:val="005E35AD"/>
    <w:rsid w:val="005E3DE8"/>
    <w:rsid w:val="005E56F6"/>
    <w:rsid w:val="005F23DF"/>
    <w:rsid w:val="005F4321"/>
    <w:rsid w:val="005F4C29"/>
    <w:rsid w:val="005F5CFD"/>
    <w:rsid w:val="005F69FF"/>
    <w:rsid w:val="005F7548"/>
    <w:rsid w:val="00600AFA"/>
    <w:rsid w:val="00600D76"/>
    <w:rsid w:val="00603E89"/>
    <w:rsid w:val="00605317"/>
    <w:rsid w:val="00610654"/>
    <w:rsid w:val="006124AE"/>
    <w:rsid w:val="006225CB"/>
    <w:rsid w:val="00622A67"/>
    <w:rsid w:val="0062717A"/>
    <w:rsid w:val="00631E6C"/>
    <w:rsid w:val="00632BE4"/>
    <w:rsid w:val="00632D7B"/>
    <w:rsid w:val="00632DF3"/>
    <w:rsid w:val="006339C9"/>
    <w:rsid w:val="0063516C"/>
    <w:rsid w:val="00637C46"/>
    <w:rsid w:val="00640662"/>
    <w:rsid w:val="0064082D"/>
    <w:rsid w:val="006445C7"/>
    <w:rsid w:val="0064528B"/>
    <w:rsid w:val="00646972"/>
    <w:rsid w:val="006471B0"/>
    <w:rsid w:val="006522CB"/>
    <w:rsid w:val="00653098"/>
    <w:rsid w:val="00655DC1"/>
    <w:rsid w:val="006609FC"/>
    <w:rsid w:val="0066392F"/>
    <w:rsid w:val="0066421F"/>
    <w:rsid w:val="00665F43"/>
    <w:rsid w:val="006662ED"/>
    <w:rsid w:val="00674C3D"/>
    <w:rsid w:val="006845ED"/>
    <w:rsid w:val="00684C32"/>
    <w:rsid w:val="006873DD"/>
    <w:rsid w:val="00695ABF"/>
    <w:rsid w:val="00697F7D"/>
    <w:rsid w:val="006A3E06"/>
    <w:rsid w:val="006A58D3"/>
    <w:rsid w:val="006B2C94"/>
    <w:rsid w:val="006B2E50"/>
    <w:rsid w:val="006B36DB"/>
    <w:rsid w:val="006B4221"/>
    <w:rsid w:val="006B5E7F"/>
    <w:rsid w:val="006B693F"/>
    <w:rsid w:val="006C2653"/>
    <w:rsid w:val="006C5933"/>
    <w:rsid w:val="006C5E09"/>
    <w:rsid w:val="006C77BE"/>
    <w:rsid w:val="006D37CD"/>
    <w:rsid w:val="006D4518"/>
    <w:rsid w:val="006E778B"/>
    <w:rsid w:val="006F4132"/>
    <w:rsid w:val="00700AB1"/>
    <w:rsid w:val="007017EB"/>
    <w:rsid w:val="00705644"/>
    <w:rsid w:val="007070D1"/>
    <w:rsid w:val="007123B8"/>
    <w:rsid w:val="00713150"/>
    <w:rsid w:val="00721946"/>
    <w:rsid w:val="00723263"/>
    <w:rsid w:val="00727ED6"/>
    <w:rsid w:val="00730358"/>
    <w:rsid w:val="00733963"/>
    <w:rsid w:val="00734365"/>
    <w:rsid w:val="00736694"/>
    <w:rsid w:val="00737C5C"/>
    <w:rsid w:val="00740670"/>
    <w:rsid w:val="00744493"/>
    <w:rsid w:val="0074504E"/>
    <w:rsid w:val="00745DC6"/>
    <w:rsid w:val="00753D3A"/>
    <w:rsid w:val="00754AF0"/>
    <w:rsid w:val="0075617B"/>
    <w:rsid w:val="00756B6E"/>
    <w:rsid w:val="007608B8"/>
    <w:rsid w:val="00764876"/>
    <w:rsid w:val="0077055E"/>
    <w:rsid w:val="00770BAB"/>
    <w:rsid w:val="00772411"/>
    <w:rsid w:val="00773CBA"/>
    <w:rsid w:val="007772C7"/>
    <w:rsid w:val="00781988"/>
    <w:rsid w:val="00783A10"/>
    <w:rsid w:val="007869C4"/>
    <w:rsid w:val="007875F7"/>
    <w:rsid w:val="00794E7D"/>
    <w:rsid w:val="007A24FA"/>
    <w:rsid w:val="007A360D"/>
    <w:rsid w:val="007A5A5B"/>
    <w:rsid w:val="007B16D5"/>
    <w:rsid w:val="007B760F"/>
    <w:rsid w:val="007B7A3F"/>
    <w:rsid w:val="007C3066"/>
    <w:rsid w:val="007C4393"/>
    <w:rsid w:val="007C54E7"/>
    <w:rsid w:val="007C68EA"/>
    <w:rsid w:val="007C7285"/>
    <w:rsid w:val="007C7EE7"/>
    <w:rsid w:val="007D0309"/>
    <w:rsid w:val="007D036F"/>
    <w:rsid w:val="007D19F6"/>
    <w:rsid w:val="007D2CEA"/>
    <w:rsid w:val="007D679A"/>
    <w:rsid w:val="007E0DCB"/>
    <w:rsid w:val="007E18C7"/>
    <w:rsid w:val="007E4F68"/>
    <w:rsid w:val="007F0E74"/>
    <w:rsid w:val="007F1F6B"/>
    <w:rsid w:val="007F37F5"/>
    <w:rsid w:val="00800D9C"/>
    <w:rsid w:val="00800F23"/>
    <w:rsid w:val="008019BC"/>
    <w:rsid w:val="00802B25"/>
    <w:rsid w:val="00803D26"/>
    <w:rsid w:val="00804B89"/>
    <w:rsid w:val="008105D5"/>
    <w:rsid w:val="00810BB3"/>
    <w:rsid w:val="00811F3C"/>
    <w:rsid w:val="00813285"/>
    <w:rsid w:val="00820B4D"/>
    <w:rsid w:val="00822C26"/>
    <w:rsid w:val="00823086"/>
    <w:rsid w:val="00823B51"/>
    <w:rsid w:val="0082470A"/>
    <w:rsid w:val="008247EB"/>
    <w:rsid w:val="008253FC"/>
    <w:rsid w:val="0082590F"/>
    <w:rsid w:val="00831518"/>
    <w:rsid w:val="00836FB3"/>
    <w:rsid w:val="00836FE4"/>
    <w:rsid w:val="00841BD7"/>
    <w:rsid w:val="00843FEA"/>
    <w:rsid w:val="00845BF4"/>
    <w:rsid w:val="00850DE4"/>
    <w:rsid w:val="00852A92"/>
    <w:rsid w:val="00856BAF"/>
    <w:rsid w:val="008576B5"/>
    <w:rsid w:val="00860407"/>
    <w:rsid w:val="0086078C"/>
    <w:rsid w:val="00867EF6"/>
    <w:rsid w:val="00871A80"/>
    <w:rsid w:val="00874B9C"/>
    <w:rsid w:val="00880B8E"/>
    <w:rsid w:val="00881E9B"/>
    <w:rsid w:val="00890EB4"/>
    <w:rsid w:val="008942E1"/>
    <w:rsid w:val="00894EF8"/>
    <w:rsid w:val="0089520E"/>
    <w:rsid w:val="00896B3A"/>
    <w:rsid w:val="008975C9"/>
    <w:rsid w:val="008A213D"/>
    <w:rsid w:val="008A22D0"/>
    <w:rsid w:val="008A264D"/>
    <w:rsid w:val="008B011D"/>
    <w:rsid w:val="008B4611"/>
    <w:rsid w:val="008C1A0A"/>
    <w:rsid w:val="008C34FB"/>
    <w:rsid w:val="008C53BA"/>
    <w:rsid w:val="008C5C70"/>
    <w:rsid w:val="008D412C"/>
    <w:rsid w:val="008E0A31"/>
    <w:rsid w:val="008E29FA"/>
    <w:rsid w:val="008E4A7D"/>
    <w:rsid w:val="008E4D61"/>
    <w:rsid w:val="008E695E"/>
    <w:rsid w:val="008F08C5"/>
    <w:rsid w:val="008F5AD4"/>
    <w:rsid w:val="008F7699"/>
    <w:rsid w:val="009110B5"/>
    <w:rsid w:val="00911954"/>
    <w:rsid w:val="00913639"/>
    <w:rsid w:val="009157D5"/>
    <w:rsid w:val="0092241F"/>
    <w:rsid w:val="009224CA"/>
    <w:rsid w:val="009336EC"/>
    <w:rsid w:val="00937E17"/>
    <w:rsid w:val="00937E63"/>
    <w:rsid w:val="00941F5E"/>
    <w:rsid w:val="009537C2"/>
    <w:rsid w:val="00953B4A"/>
    <w:rsid w:val="0095506F"/>
    <w:rsid w:val="00960C8C"/>
    <w:rsid w:val="0096411C"/>
    <w:rsid w:val="00965E4C"/>
    <w:rsid w:val="00966BD0"/>
    <w:rsid w:val="0096764A"/>
    <w:rsid w:val="00967658"/>
    <w:rsid w:val="009723A4"/>
    <w:rsid w:val="009726A6"/>
    <w:rsid w:val="00974101"/>
    <w:rsid w:val="00980587"/>
    <w:rsid w:val="00985F16"/>
    <w:rsid w:val="0099012F"/>
    <w:rsid w:val="00994BC5"/>
    <w:rsid w:val="00997019"/>
    <w:rsid w:val="009971C8"/>
    <w:rsid w:val="009973D4"/>
    <w:rsid w:val="00997F32"/>
    <w:rsid w:val="009A428D"/>
    <w:rsid w:val="009A5193"/>
    <w:rsid w:val="009A561F"/>
    <w:rsid w:val="009A7256"/>
    <w:rsid w:val="009A7EFC"/>
    <w:rsid w:val="009B2EAD"/>
    <w:rsid w:val="009B3303"/>
    <w:rsid w:val="009B4049"/>
    <w:rsid w:val="009B6DC0"/>
    <w:rsid w:val="009C01CA"/>
    <w:rsid w:val="009C0BA4"/>
    <w:rsid w:val="009C0BB9"/>
    <w:rsid w:val="009C283F"/>
    <w:rsid w:val="009C2BE3"/>
    <w:rsid w:val="009C57A5"/>
    <w:rsid w:val="009C6872"/>
    <w:rsid w:val="009D1F76"/>
    <w:rsid w:val="009D5F00"/>
    <w:rsid w:val="009D6C96"/>
    <w:rsid w:val="009E41CD"/>
    <w:rsid w:val="009E7118"/>
    <w:rsid w:val="00A02A79"/>
    <w:rsid w:val="00A035D8"/>
    <w:rsid w:val="00A07895"/>
    <w:rsid w:val="00A11F71"/>
    <w:rsid w:val="00A204D9"/>
    <w:rsid w:val="00A21BE3"/>
    <w:rsid w:val="00A2621D"/>
    <w:rsid w:val="00A26D59"/>
    <w:rsid w:val="00A278A9"/>
    <w:rsid w:val="00A300A3"/>
    <w:rsid w:val="00A346F0"/>
    <w:rsid w:val="00A47853"/>
    <w:rsid w:val="00A54110"/>
    <w:rsid w:val="00A5492D"/>
    <w:rsid w:val="00A54BEA"/>
    <w:rsid w:val="00A5584A"/>
    <w:rsid w:val="00A577A3"/>
    <w:rsid w:val="00A57D1A"/>
    <w:rsid w:val="00A6006E"/>
    <w:rsid w:val="00A646AC"/>
    <w:rsid w:val="00A64B18"/>
    <w:rsid w:val="00A64D0B"/>
    <w:rsid w:val="00A64DC3"/>
    <w:rsid w:val="00A7181D"/>
    <w:rsid w:val="00A7225A"/>
    <w:rsid w:val="00A72C86"/>
    <w:rsid w:val="00A72D1C"/>
    <w:rsid w:val="00A75194"/>
    <w:rsid w:val="00A76040"/>
    <w:rsid w:val="00A767E0"/>
    <w:rsid w:val="00A80682"/>
    <w:rsid w:val="00A93039"/>
    <w:rsid w:val="00A93216"/>
    <w:rsid w:val="00A9416A"/>
    <w:rsid w:val="00A94341"/>
    <w:rsid w:val="00A94BC5"/>
    <w:rsid w:val="00A95F72"/>
    <w:rsid w:val="00A965B3"/>
    <w:rsid w:val="00AA0250"/>
    <w:rsid w:val="00AA11F2"/>
    <w:rsid w:val="00AB18C1"/>
    <w:rsid w:val="00AB1B01"/>
    <w:rsid w:val="00AB76D8"/>
    <w:rsid w:val="00AC21A2"/>
    <w:rsid w:val="00AC28EE"/>
    <w:rsid w:val="00AD0E62"/>
    <w:rsid w:val="00AD2DBE"/>
    <w:rsid w:val="00AE1DA2"/>
    <w:rsid w:val="00AE3235"/>
    <w:rsid w:val="00AE51DC"/>
    <w:rsid w:val="00AE6506"/>
    <w:rsid w:val="00AF10D8"/>
    <w:rsid w:val="00B03132"/>
    <w:rsid w:val="00B06E7F"/>
    <w:rsid w:val="00B120C7"/>
    <w:rsid w:val="00B12833"/>
    <w:rsid w:val="00B1429B"/>
    <w:rsid w:val="00B162BA"/>
    <w:rsid w:val="00B20427"/>
    <w:rsid w:val="00B22261"/>
    <w:rsid w:val="00B2263B"/>
    <w:rsid w:val="00B23E29"/>
    <w:rsid w:val="00B24559"/>
    <w:rsid w:val="00B25468"/>
    <w:rsid w:val="00B34991"/>
    <w:rsid w:val="00B35DC3"/>
    <w:rsid w:val="00B46591"/>
    <w:rsid w:val="00B46E24"/>
    <w:rsid w:val="00B516ED"/>
    <w:rsid w:val="00B53405"/>
    <w:rsid w:val="00B54979"/>
    <w:rsid w:val="00B55007"/>
    <w:rsid w:val="00B55B4C"/>
    <w:rsid w:val="00B61F0A"/>
    <w:rsid w:val="00B62727"/>
    <w:rsid w:val="00B67BC1"/>
    <w:rsid w:val="00B703E6"/>
    <w:rsid w:val="00B716A2"/>
    <w:rsid w:val="00B72C8F"/>
    <w:rsid w:val="00B734BA"/>
    <w:rsid w:val="00B77504"/>
    <w:rsid w:val="00B81852"/>
    <w:rsid w:val="00B81F29"/>
    <w:rsid w:val="00B87C67"/>
    <w:rsid w:val="00B90371"/>
    <w:rsid w:val="00B9239E"/>
    <w:rsid w:val="00B942FD"/>
    <w:rsid w:val="00B946B1"/>
    <w:rsid w:val="00B95451"/>
    <w:rsid w:val="00B968E6"/>
    <w:rsid w:val="00BA6440"/>
    <w:rsid w:val="00BB0137"/>
    <w:rsid w:val="00BB1117"/>
    <w:rsid w:val="00BB16F0"/>
    <w:rsid w:val="00BB75FC"/>
    <w:rsid w:val="00BC1A13"/>
    <w:rsid w:val="00BC2804"/>
    <w:rsid w:val="00BC6D3E"/>
    <w:rsid w:val="00BD0A4B"/>
    <w:rsid w:val="00BD4027"/>
    <w:rsid w:val="00BD4593"/>
    <w:rsid w:val="00BE2C9B"/>
    <w:rsid w:val="00BE3050"/>
    <w:rsid w:val="00BE7710"/>
    <w:rsid w:val="00BF3D61"/>
    <w:rsid w:val="00BF42B9"/>
    <w:rsid w:val="00BF6D10"/>
    <w:rsid w:val="00C0100E"/>
    <w:rsid w:val="00C029BF"/>
    <w:rsid w:val="00C02DF0"/>
    <w:rsid w:val="00C07DCB"/>
    <w:rsid w:val="00C10527"/>
    <w:rsid w:val="00C14AFB"/>
    <w:rsid w:val="00C2265C"/>
    <w:rsid w:val="00C22E5D"/>
    <w:rsid w:val="00C23235"/>
    <w:rsid w:val="00C23ECA"/>
    <w:rsid w:val="00C25B14"/>
    <w:rsid w:val="00C271F1"/>
    <w:rsid w:val="00C33638"/>
    <w:rsid w:val="00C36FD3"/>
    <w:rsid w:val="00C373F1"/>
    <w:rsid w:val="00C471F1"/>
    <w:rsid w:val="00C4773F"/>
    <w:rsid w:val="00C51706"/>
    <w:rsid w:val="00C518A2"/>
    <w:rsid w:val="00C51CE4"/>
    <w:rsid w:val="00C54B58"/>
    <w:rsid w:val="00C61F98"/>
    <w:rsid w:val="00C62192"/>
    <w:rsid w:val="00C64060"/>
    <w:rsid w:val="00C72C8C"/>
    <w:rsid w:val="00C77982"/>
    <w:rsid w:val="00C77FDD"/>
    <w:rsid w:val="00C843F8"/>
    <w:rsid w:val="00C92EC2"/>
    <w:rsid w:val="00C94CA3"/>
    <w:rsid w:val="00CA41CF"/>
    <w:rsid w:val="00CA4265"/>
    <w:rsid w:val="00CB2295"/>
    <w:rsid w:val="00CB32B2"/>
    <w:rsid w:val="00CC004B"/>
    <w:rsid w:val="00CC0078"/>
    <w:rsid w:val="00CC19F9"/>
    <w:rsid w:val="00CC2561"/>
    <w:rsid w:val="00CC33BD"/>
    <w:rsid w:val="00CC4092"/>
    <w:rsid w:val="00CC683F"/>
    <w:rsid w:val="00CD2B7E"/>
    <w:rsid w:val="00CD2DF8"/>
    <w:rsid w:val="00CD3422"/>
    <w:rsid w:val="00CD7E92"/>
    <w:rsid w:val="00CF04BC"/>
    <w:rsid w:val="00CF1694"/>
    <w:rsid w:val="00CF1B6C"/>
    <w:rsid w:val="00CF1C03"/>
    <w:rsid w:val="00CF300F"/>
    <w:rsid w:val="00CF3796"/>
    <w:rsid w:val="00CF42D6"/>
    <w:rsid w:val="00CF4FAC"/>
    <w:rsid w:val="00CF5242"/>
    <w:rsid w:val="00D00766"/>
    <w:rsid w:val="00D01548"/>
    <w:rsid w:val="00D03162"/>
    <w:rsid w:val="00D065A7"/>
    <w:rsid w:val="00D10A2E"/>
    <w:rsid w:val="00D11A11"/>
    <w:rsid w:val="00D12AA8"/>
    <w:rsid w:val="00D21BD6"/>
    <w:rsid w:val="00D262B8"/>
    <w:rsid w:val="00D27C3C"/>
    <w:rsid w:val="00D27FDA"/>
    <w:rsid w:val="00D31A50"/>
    <w:rsid w:val="00D33CEE"/>
    <w:rsid w:val="00D346B6"/>
    <w:rsid w:val="00D37FDA"/>
    <w:rsid w:val="00D40997"/>
    <w:rsid w:val="00D40DD2"/>
    <w:rsid w:val="00D421B0"/>
    <w:rsid w:val="00D43893"/>
    <w:rsid w:val="00D445FC"/>
    <w:rsid w:val="00D52010"/>
    <w:rsid w:val="00D546F6"/>
    <w:rsid w:val="00D55B5C"/>
    <w:rsid w:val="00D57A04"/>
    <w:rsid w:val="00D614B0"/>
    <w:rsid w:val="00D624B1"/>
    <w:rsid w:val="00D642DD"/>
    <w:rsid w:val="00D66551"/>
    <w:rsid w:val="00D67DED"/>
    <w:rsid w:val="00D73386"/>
    <w:rsid w:val="00D821FA"/>
    <w:rsid w:val="00D845BB"/>
    <w:rsid w:val="00D86AB7"/>
    <w:rsid w:val="00D96BB0"/>
    <w:rsid w:val="00DA1D83"/>
    <w:rsid w:val="00DA3E94"/>
    <w:rsid w:val="00DA57A3"/>
    <w:rsid w:val="00DA659A"/>
    <w:rsid w:val="00DB3322"/>
    <w:rsid w:val="00DC0947"/>
    <w:rsid w:val="00DC1ED5"/>
    <w:rsid w:val="00DC4653"/>
    <w:rsid w:val="00DC61EE"/>
    <w:rsid w:val="00DC6DD4"/>
    <w:rsid w:val="00DD02AC"/>
    <w:rsid w:val="00DD0996"/>
    <w:rsid w:val="00DD3B17"/>
    <w:rsid w:val="00DD59B8"/>
    <w:rsid w:val="00DD64FB"/>
    <w:rsid w:val="00DE0F80"/>
    <w:rsid w:val="00DE40F0"/>
    <w:rsid w:val="00DE6ADB"/>
    <w:rsid w:val="00DE7729"/>
    <w:rsid w:val="00DF2A53"/>
    <w:rsid w:val="00DF44BE"/>
    <w:rsid w:val="00DF6B08"/>
    <w:rsid w:val="00E06B3E"/>
    <w:rsid w:val="00E100BF"/>
    <w:rsid w:val="00E1065E"/>
    <w:rsid w:val="00E1352C"/>
    <w:rsid w:val="00E15450"/>
    <w:rsid w:val="00E160CE"/>
    <w:rsid w:val="00E219BA"/>
    <w:rsid w:val="00E2295B"/>
    <w:rsid w:val="00E22C59"/>
    <w:rsid w:val="00E2502B"/>
    <w:rsid w:val="00E2766C"/>
    <w:rsid w:val="00E27F19"/>
    <w:rsid w:val="00E3790A"/>
    <w:rsid w:val="00E41AE9"/>
    <w:rsid w:val="00E41F05"/>
    <w:rsid w:val="00E43BA5"/>
    <w:rsid w:val="00E45CCD"/>
    <w:rsid w:val="00E45FD5"/>
    <w:rsid w:val="00E47583"/>
    <w:rsid w:val="00E52253"/>
    <w:rsid w:val="00E52779"/>
    <w:rsid w:val="00E54043"/>
    <w:rsid w:val="00E558C1"/>
    <w:rsid w:val="00E56775"/>
    <w:rsid w:val="00E574CA"/>
    <w:rsid w:val="00E604F5"/>
    <w:rsid w:val="00E8572A"/>
    <w:rsid w:val="00E97756"/>
    <w:rsid w:val="00E9788E"/>
    <w:rsid w:val="00EA42F6"/>
    <w:rsid w:val="00EA448C"/>
    <w:rsid w:val="00EB05AB"/>
    <w:rsid w:val="00EC017C"/>
    <w:rsid w:val="00EC0512"/>
    <w:rsid w:val="00EC1450"/>
    <w:rsid w:val="00EC2715"/>
    <w:rsid w:val="00EC3C14"/>
    <w:rsid w:val="00EC57E9"/>
    <w:rsid w:val="00ED228B"/>
    <w:rsid w:val="00ED29A2"/>
    <w:rsid w:val="00EE1B82"/>
    <w:rsid w:val="00EE1BCA"/>
    <w:rsid w:val="00EE2DB4"/>
    <w:rsid w:val="00EE4A2D"/>
    <w:rsid w:val="00F023D9"/>
    <w:rsid w:val="00F04512"/>
    <w:rsid w:val="00F11543"/>
    <w:rsid w:val="00F16420"/>
    <w:rsid w:val="00F17B7B"/>
    <w:rsid w:val="00F30F1B"/>
    <w:rsid w:val="00F32B2C"/>
    <w:rsid w:val="00F32DBC"/>
    <w:rsid w:val="00F35EF7"/>
    <w:rsid w:val="00F413A5"/>
    <w:rsid w:val="00F44672"/>
    <w:rsid w:val="00F47155"/>
    <w:rsid w:val="00F52658"/>
    <w:rsid w:val="00F5394D"/>
    <w:rsid w:val="00F56E46"/>
    <w:rsid w:val="00F66670"/>
    <w:rsid w:val="00F672A4"/>
    <w:rsid w:val="00F67664"/>
    <w:rsid w:val="00F70499"/>
    <w:rsid w:val="00F711B8"/>
    <w:rsid w:val="00F8582B"/>
    <w:rsid w:val="00F905B9"/>
    <w:rsid w:val="00F938C0"/>
    <w:rsid w:val="00FA263B"/>
    <w:rsid w:val="00FA54FB"/>
    <w:rsid w:val="00FB2CFB"/>
    <w:rsid w:val="00FB527E"/>
    <w:rsid w:val="00FC18FD"/>
    <w:rsid w:val="00FC4F2A"/>
    <w:rsid w:val="00FD2A2F"/>
    <w:rsid w:val="00FD4509"/>
    <w:rsid w:val="00FD6BBD"/>
    <w:rsid w:val="00FD767C"/>
    <w:rsid w:val="00FE02E7"/>
    <w:rsid w:val="00FE47E7"/>
    <w:rsid w:val="00FF0AD7"/>
    <w:rsid w:val="00FF1AE2"/>
    <w:rsid w:val="00FF27A0"/>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6ADCC"/>
  <w15:docId w15:val="{0A4B11AF-E820-461D-B748-D9513AB1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09"/>
    <w:pPr>
      <w:spacing w:after="0" w:line="240" w:lineRule="auto"/>
      <w:ind w:left="720"/>
      <w:contextualSpacing/>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D2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DF8"/>
  </w:style>
  <w:style w:type="paragraph" w:styleId="Footer">
    <w:name w:val="footer"/>
    <w:basedOn w:val="Normal"/>
    <w:link w:val="FooterChar"/>
    <w:uiPriority w:val="99"/>
    <w:unhideWhenUsed/>
    <w:rsid w:val="00CD2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F8"/>
  </w:style>
  <w:style w:type="paragraph" w:styleId="BalloonText">
    <w:name w:val="Balloon Text"/>
    <w:basedOn w:val="Normal"/>
    <w:link w:val="BalloonTextChar"/>
    <w:uiPriority w:val="99"/>
    <w:semiHidden/>
    <w:unhideWhenUsed/>
    <w:rsid w:val="00DC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947"/>
    <w:rPr>
      <w:rFonts w:ascii="Tahoma" w:hAnsi="Tahoma" w:cs="Tahoma"/>
      <w:sz w:val="16"/>
      <w:szCs w:val="16"/>
    </w:rPr>
  </w:style>
  <w:style w:type="character" w:styleId="Hyperlink">
    <w:name w:val="Hyperlink"/>
    <w:basedOn w:val="DefaultParagraphFont"/>
    <w:uiPriority w:val="99"/>
    <w:unhideWhenUsed/>
    <w:rsid w:val="00896B3A"/>
    <w:rPr>
      <w:color w:val="0000FF" w:themeColor="hyperlink"/>
      <w:u w:val="single"/>
    </w:rPr>
  </w:style>
  <w:style w:type="character" w:styleId="FollowedHyperlink">
    <w:name w:val="FollowedHyperlink"/>
    <w:basedOn w:val="DefaultParagraphFont"/>
    <w:uiPriority w:val="99"/>
    <w:semiHidden/>
    <w:unhideWhenUsed/>
    <w:rsid w:val="002A1F21"/>
    <w:rPr>
      <w:color w:val="800080" w:themeColor="followedHyperlink"/>
      <w:u w:val="single"/>
    </w:rPr>
  </w:style>
  <w:style w:type="paragraph" w:styleId="FootnoteText">
    <w:name w:val="footnote text"/>
    <w:basedOn w:val="Normal"/>
    <w:link w:val="FootnoteTextChar"/>
    <w:uiPriority w:val="99"/>
    <w:semiHidden/>
    <w:unhideWhenUsed/>
    <w:rsid w:val="003217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76A"/>
    <w:rPr>
      <w:sz w:val="20"/>
      <w:szCs w:val="20"/>
    </w:rPr>
  </w:style>
  <w:style w:type="character" w:styleId="FootnoteReference">
    <w:name w:val="footnote reference"/>
    <w:basedOn w:val="DefaultParagraphFont"/>
    <w:uiPriority w:val="99"/>
    <w:semiHidden/>
    <w:unhideWhenUsed/>
    <w:rsid w:val="0032176A"/>
    <w:rPr>
      <w:vertAlign w:val="superscript"/>
    </w:rPr>
  </w:style>
  <w:style w:type="character" w:styleId="CommentReference">
    <w:name w:val="annotation reference"/>
    <w:basedOn w:val="DefaultParagraphFont"/>
    <w:uiPriority w:val="99"/>
    <w:semiHidden/>
    <w:unhideWhenUsed/>
    <w:rsid w:val="003F0E2B"/>
    <w:rPr>
      <w:sz w:val="16"/>
      <w:szCs w:val="16"/>
    </w:rPr>
  </w:style>
  <w:style w:type="paragraph" w:styleId="CommentText">
    <w:name w:val="annotation text"/>
    <w:basedOn w:val="Normal"/>
    <w:link w:val="CommentTextChar"/>
    <w:uiPriority w:val="99"/>
    <w:semiHidden/>
    <w:unhideWhenUsed/>
    <w:rsid w:val="003F0E2B"/>
    <w:pPr>
      <w:spacing w:line="240" w:lineRule="auto"/>
    </w:pPr>
    <w:rPr>
      <w:sz w:val="20"/>
      <w:szCs w:val="20"/>
    </w:rPr>
  </w:style>
  <w:style w:type="character" w:customStyle="1" w:styleId="CommentTextChar">
    <w:name w:val="Comment Text Char"/>
    <w:basedOn w:val="DefaultParagraphFont"/>
    <w:link w:val="CommentText"/>
    <w:uiPriority w:val="99"/>
    <w:semiHidden/>
    <w:rsid w:val="003F0E2B"/>
    <w:rPr>
      <w:sz w:val="20"/>
      <w:szCs w:val="20"/>
    </w:rPr>
  </w:style>
  <w:style w:type="paragraph" w:styleId="CommentSubject">
    <w:name w:val="annotation subject"/>
    <w:basedOn w:val="CommentText"/>
    <w:next w:val="CommentText"/>
    <w:link w:val="CommentSubjectChar"/>
    <w:uiPriority w:val="99"/>
    <w:semiHidden/>
    <w:unhideWhenUsed/>
    <w:rsid w:val="003F0E2B"/>
    <w:rPr>
      <w:b/>
      <w:bCs/>
    </w:rPr>
  </w:style>
  <w:style w:type="character" w:customStyle="1" w:styleId="CommentSubjectChar">
    <w:name w:val="Comment Subject Char"/>
    <w:basedOn w:val="CommentTextChar"/>
    <w:link w:val="CommentSubject"/>
    <w:uiPriority w:val="99"/>
    <w:semiHidden/>
    <w:rsid w:val="003F0E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s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la.la.gov/ho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096FA-7A95-467B-BCE9-284AD01FB602}">
  <ds:schemaRefs>
    <ds:schemaRef ds:uri="http://schemas.openxmlformats.org/officeDocument/2006/bibliography"/>
  </ds:schemaRefs>
</ds:datastoreItem>
</file>

<file path=customXml/itemProps2.xml><?xml version="1.0" encoding="utf-8"?>
<ds:datastoreItem xmlns:ds="http://schemas.openxmlformats.org/officeDocument/2006/customXml" ds:itemID="{955E0AB9-0758-439B-943D-94318706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6085</Words>
  <Characters>32435</Characters>
  <Application>Microsoft Office Word</Application>
  <DocSecurity>0</DocSecurity>
  <Lines>579</Lines>
  <Paragraphs>242</Paragraphs>
  <ScaleCrop>false</ScaleCrop>
  <HeadingPairs>
    <vt:vector size="2" baseType="variant">
      <vt:variant>
        <vt:lpstr>Title</vt:lpstr>
      </vt:variant>
      <vt:variant>
        <vt:i4>1</vt:i4>
      </vt:variant>
    </vt:vector>
  </HeadingPairs>
  <TitlesOfParts>
    <vt:vector size="1" baseType="lpstr">
      <vt:lpstr/>
    </vt:vector>
  </TitlesOfParts>
  <Company>LLA</Company>
  <LinksUpToDate>false</LinksUpToDate>
  <CharactersWithSpaces>38278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Cryer</dc:creator>
  <cp:lastModifiedBy>Sandra Whitehead</cp:lastModifiedBy>
  <cp:revision>2</cp:revision>
  <cp:lastPrinted>2022-07-12T16:55:00Z</cp:lastPrinted>
  <dcterms:created xsi:type="dcterms:W3CDTF">2022-07-13T16:09:00Z</dcterms:created>
  <dcterms:modified xsi:type="dcterms:W3CDTF">2022-07-13T16:09:00Z</dcterms:modified>
</cp:coreProperties>
</file>